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BD48C">
      <w:pPr>
        <w:jc w:val="center"/>
        <w:rPr>
          <w:rFonts w:ascii="黑体" w:hAnsi="黑体" w:eastAsia="黑体"/>
          <w:sz w:val="44"/>
          <w:szCs w:val="44"/>
        </w:rPr>
      </w:pPr>
    </w:p>
    <w:p w14:paraId="4DA7316C">
      <w:pPr>
        <w:jc w:val="center"/>
        <w:rPr>
          <w:rFonts w:ascii="黑体" w:hAnsi="黑体" w:eastAsia="黑体"/>
          <w:sz w:val="44"/>
          <w:szCs w:val="44"/>
        </w:rPr>
      </w:pPr>
    </w:p>
    <w:p w14:paraId="54BA3A60">
      <w:pPr>
        <w:jc w:val="center"/>
        <w:rPr>
          <w:rFonts w:ascii="黑体" w:hAnsi="黑体" w:eastAsia="黑体"/>
          <w:sz w:val="44"/>
          <w:szCs w:val="44"/>
        </w:rPr>
      </w:pPr>
    </w:p>
    <w:p w14:paraId="42EC8A42">
      <w:pPr>
        <w:jc w:val="center"/>
        <w:rPr>
          <w:rFonts w:ascii="黑体" w:hAnsi="黑体" w:eastAsia="黑体"/>
          <w:sz w:val="44"/>
          <w:szCs w:val="44"/>
        </w:rPr>
      </w:pPr>
    </w:p>
    <w:p w14:paraId="5C9BC8BB">
      <w:pPr>
        <w:jc w:val="center"/>
        <w:rPr>
          <w:rFonts w:ascii="黑体" w:hAnsi="黑体" w:eastAsia="黑体"/>
          <w:sz w:val="44"/>
          <w:szCs w:val="44"/>
        </w:rPr>
      </w:pPr>
    </w:p>
    <w:p w14:paraId="44E8EB64">
      <w:pPr>
        <w:jc w:val="center"/>
        <w:rPr>
          <w:rFonts w:ascii="黑体" w:hAnsi="黑体" w:eastAsia="黑体"/>
          <w:sz w:val="52"/>
          <w:szCs w:val="52"/>
        </w:rPr>
      </w:pPr>
      <w:r>
        <w:rPr>
          <w:rFonts w:hint="eastAsia" w:ascii="黑体" w:hAnsi="黑体" w:eastAsia="黑体"/>
          <w:sz w:val="52"/>
          <w:szCs w:val="52"/>
        </w:rPr>
        <w:t>永吉县第十中学2025年部门预算</w:t>
      </w:r>
    </w:p>
    <w:p w14:paraId="01CDE922">
      <w:pPr>
        <w:jc w:val="center"/>
        <w:rPr>
          <w:rFonts w:ascii="黑体" w:hAnsi="黑体" w:eastAsia="黑体"/>
          <w:sz w:val="44"/>
          <w:szCs w:val="44"/>
        </w:rPr>
      </w:pPr>
    </w:p>
    <w:p w14:paraId="7C675F2A">
      <w:pPr>
        <w:jc w:val="center"/>
        <w:rPr>
          <w:rFonts w:ascii="黑体" w:hAnsi="黑体" w:eastAsia="黑体"/>
          <w:sz w:val="44"/>
          <w:szCs w:val="44"/>
        </w:rPr>
      </w:pPr>
    </w:p>
    <w:p w14:paraId="4EA52975">
      <w:pPr>
        <w:jc w:val="center"/>
        <w:rPr>
          <w:rFonts w:ascii="黑体" w:hAnsi="黑体" w:eastAsia="黑体"/>
          <w:sz w:val="44"/>
          <w:szCs w:val="44"/>
        </w:rPr>
      </w:pPr>
    </w:p>
    <w:p w14:paraId="647B64F3">
      <w:pPr>
        <w:jc w:val="center"/>
        <w:rPr>
          <w:rFonts w:ascii="黑体" w:hAnsi="黑体" w:eastAsia="黑体"/>
          <w:sz w:val="44"/>
          <w:szCs w:val="44"/>
        </w:rPr>
      </w:pPr>
    </w:p>
    <w:p w14:paraId="32DC5A36">
      <w:pPr>
        <w:jc w:val="center"/>
        <w:rPr>
          <w:rFonts w:ascii="黑体" w:hAnsi="黑体" w:eastAsia="黑体"/>
          <w:sz w:val="44"/>
          <w:szCs w:val="44"/>
        </w:rPr>
      </w:pPr>
    </w:p>
    <w:p w14:paraId="5C1BE8B0">
      <w:pPr>
        <w:jc w:val="center"/>
        <w:rPr>
          <w:rFonts w:ascii="黑体" w:hAnsi="黑体" w:eastAsia="黑体"/>
          <w:sz w:val="44"/>
          <w:szCs w:val="44"/>
        </w:rPr>
      </w:pPr>
    </w:p>
    <w:p w14:paraId="1D50420C">
      <w:pPr>
        <w:jc w:val="center"/>
        <w:rPr>
          <w:rFonts w:ascii="黑体" w:hAnsi="黑体" w:eastAsia="黑体"/>
          <w:sz w:val="44"/>
          <w:szCs w:val="44"/>
        </w:rPr>
      </w:pPr>
    </w:p>
    <w:p w14:paraId="7F7236B8">
      <w:pPr>
        <w:jc w:val="center"/>
        <w:rPr>
          <w:rFonts w:ascii="黑体" w:hAnsi="黑体" w:eastAsia="黑体"/>
          <w:sz w:val="44"/>
          <w:szCs w:val="44"/>
        </w:rPr>
      </w:pPr>
    </w:p>
    <w:p w14:paraId="4D3A348D">
      <w:pPr>
        <w:jc w:val="center"/>
        <w:rPr>
          <w:rFonts w:ascii="黑体" w:hAnsi="黑体" w:eastAsia="黑体"/>
          <w:sz w:val="44"/>
          <w:szCs w:val="44"/>
        </w:rPr>
      </w:pPr>
    </w:p>
    <w:p w14:paraId="728131FA">
      <w:pPr>
        <w:jc w:val="center"/>
        <w:rPr>
          <w:rFonts w:ascii="黑体" w:hAnsi="黑体" w:eastAsia="黑体"/>
          <w:sz w:val="44"/>
          <w:szCs w:val="44"/>
        </w:rPr>
      </w:pPr>
    </w:p>
    <w:p w14:paraId="0BFA1749">
      <w:pPr>
        <w:jc w:val="center"/>
        <w:rPr>
          <w:rFonts w:ascii="黑体" w:hAnsi="黑体" w:eastAsia="黑体"/>
          <w:sz w:val="44"/>
          <w:szCs w:val="44"/>
        </w:rPr>
      </w:pPr>
      <w:r>
        <w:rPr>
          <w:rFonts w:hint="eastAsia" w:ascii="黑体" w:hAnsi="黑体" w:eastAsia="黑体"/>
          <w:sz w:val="44"/>
          <w:szCs w:val="44"/>
        </w:rPr>
        <w:t>二〇二五年一月三日</w:t>
      </w:r>
    </w:p>
    <w:p w14:paraId="5F51EC7E">
      <w:pPr>
        <w:jc w:val="center"/>
        <w:rPr>
          <w:rFonts w:ascii="黑体" w:hAnsi="黑体" w:eastAsia="黑体"/>
          <w:sz w:val="44"/>
          <w:szCs w:val="44"/>
        </w:rPr>
      </w:pPr>
    </w:p>
    <w:p w14:paraId="0C60E514">
      <w:pPr>
        <w:jc w:val="center"/>
        <w:rPr>
          <w:rFonts w:ascii="黑体" w:hAnsi="黑体" w:eastAsia="黑体"/>
          <w:sz w:val="44"/>
          <w:szCs w:val="44"/>
        </w:rPr>
      </w:pPr>
    </w:p>
    <w:p w14:paraId="7933A31E">
      <w:pPr>
        <w:jc w:val="center"/>
        <w:rPr>
          <w:rFonts w:ascii="黑体" w:hAnsi="黑体" w:eastAsia="黑体"/>
          <w:sz w:val="44"/>
          <w:szCs w:val="44"/>
        </w:rPr>
      </w:pPr>
    </w:p>
    <w:p w14:paraId="1AF02F6F">
      <w:pPr>
        <w:jc w:val="center"/>
        <w:rPr>
          <w:rFonts w:ascii="黑体" w:hAnsi="黑体" w:eastAsia="黑体"/>
          <w:sz w:val="44"/>
          <w:szCs w:val="44"/>
        </w:rPr>
      </w:pPr>
    </w:p>
    <w:p w14:paraId="773E5A93">
      <w:pPr>
        <w:jc w:val="center"/>
        <w:rPr>
          <w:rFonts w:ascii="黑体" w:hAnsi="黑体" w:eastAsia="黑体"/>
          <w:sz w:val="44"/>
          <w:szCs w:val="44"/>
        </w:rPr>
      </w:pPr>
    </w:p>
    <w:p w14:paraId="2DBC3834">
      <w:pPr>
        <w:jc w:val="center"/>
        <w:rPr>
          <w:rFonts w:ascii="黑体" w:hAnsi="黑体" w:eastAsia="黑体"/>
          <w:sz w:val="44"/>
          <w:szCs w:val="44"/>
        </w:rPr>
      </w:pPr>
    </w:p>
    <w:p w14:paraId="6633D10F">
      <w:pPr>
        <w:jc w:val="center"/>
        <w:rPr>
          <w:rFonts w:ascii="黑体" w:hAnsi="黑体" w:eastAsia="黑体"/>
          <w:sz w:val="44"/>
          <w:szCs w:val="44"/>
        </w:rPr>
      </w:pPr>
      <w:r>
        <w:rPr>
          <w:rFonts w:hint="eastAsia" w:ascii="黑体" w:hAnsi="黑体" w:eastAsia="黑体"/>
          <w:sz w:val="44"/>
          <w:szCs w:val="44"/>
        </w:rPr>
        <w:t>永吉县第十中学2025年预算</w:t>
      </w:r>
    </w:p>
    <w:p w14:paraId="76AC6A3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079DFD42">
      <w:pPr>
        <w:rPr>
          <w:rFonts w:ascii="仿宋" w:hAnsi="仿宋" w:eastAsia="仿宋"/>
          <w:sz w:val="32"/>
          <w:szCs w:val="32"/>
        </w:rPr>
      </w:pPr>
      <w:r>
        <w:rPr>
          <w:rFonts w:hint="eastAsia" w:ascii="仿宋" w:hAnsi="仿宋" w:eastAsia="仿宋"/>
          <w:sz w:val="32"/>
          <w:szCs w:val="32"/>
        </w:rPr>
        <w:t>第一部分  部门概况</w:t>
      </w:r>
    </w:p>
    <w:p w14:paraId="16017A8C">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64CE9944">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1A5AD608">
      <w:pPr>
        <w:rPr>
          <w:rFonts w:ascii="仿宋" w:hAnsi="仿宋" w:eastAsia="仿宋"/>
          <w:sz w:val="32"/>
          <w:szCs w:val="32"/>
        </w:rPr>
      </w:pPr>
      <w:r>
        <w:rPr>
          <w:rFonts w:hint="eastAsia" w:ascii="仿宋" w:hAnsi="仿宋" w:eastAsia="仿宋"/>
          <w:sz w:val="32"/>
          <w:szCs w:val="32"/>
        </w:rPr>
        <w:t>第二部分  情况说明</w:t>
      </w:r>
    </w:p>
    <w:p w14:paraId="4F21FDA5">
      <w:pPr>
        <w:rPr>
          <w:rFonts w:ascii="仿宋" w:hAnsi="仿宋" w:eastAsia="仿宋"/>
          <w:sz w:val="32"/>
          <w:szCs w:val="32"/>
        </w:rPr>
      </w:pPr>
      <w:r>
        <w:rPr>
          <w:rFonts w:hint="eastAsia" w:ascii="仿宋" w:hAnsi="仿宋" w:eastAsia="仿宋"/>
          <w:sz w:val="32"/>
          <w:szCs w:val="32"/>
        </w:rPr>
        <w:t xml:space="preserve">第三部分  名词解释 </w:t>
      </w:r>
    </w:p>
    <w:p w14:paraId="4F64199C">
      <w:pPr>
        <w:rPr>
          <w:rFonts w:ascii="仿宋" w:hAnsi="仿宋" w:eastAsia="仿宋"/>
          <w:sz w:val="32"/>
          <w:szCs w:val="32"/>
        </w:rPr>
      </w:pPr>
      <w:r>
        <w:rPr>
          <w:rFonts w:hint="eastAsia" w:ascii="仿宋" w:hAnsi="仿宋" w:eastAsia="仿宋"/>
          <w:sz w:val="32"/>
          <w:szCs w:val="32"/>
        </w:rPr>
        <w:t>第四部分  预算表格</w:t>
      </w:r>
    </w:p>
    <w:p w14:paraId="2BA8C23D">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07A03875">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2BDD605D">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351B781">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7FF57E86">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119F75F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4A67FD53">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F9F82DA">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11EFB774">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51B40A29">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45413302">
      <w:pPr>
        <w:rPr>
          <w:rFonts w:ascii="仿宋" w:hAnsi="仿宋" w:eastAsia="仿宋"/>
          <w:sz w:val="32"/>
          <w:szCs w:val="32"/>
        </w:rPr>
      </w:pPr>
    </w:p>
    <w:p w14:paraId="6D395660">
      <w:pPr>
        <w:rPr>
          <w:rFonts w:ascii="仿宋" w:hAnsi="仿宋" w:eastAsia="仿宋"/>
          <w:sz w:val="32"/>
          <w:szCs w:val="32"/>
        </w:rPr>
      </w:pPr>
    </w:p>
    <w:p w14:paraId="4944C7F5">
      <w:pPr>
        <w:rPr>
          <w:rFonts w:ascii="仿宋" w:hAnsi="仿宋" w:eastAsia="仿宋"/>
          <w:sz w:val="32"/>
          <w:szCs w:val="32"/>
        </w:rPr>
      </w:pPr>
    </w:p>
    <w:p w14:paraId="4DDC2321">
      <w:pPr>
        <w:jc w:val="center"/>
        <w:rPr>
          <w:rFonts w:ascii="黑体" w:hAnsi="黑体" w:eastAsia="黑体"/>
          <w:sz w:val="32"/>
          <w:szCs w:val="32"/>
        </w:rPr>
      </w:pPr>
      <w:r>
        <w:rPr>
          <w:rFonts w:hint="eastAsia" w:ascii="黑体" w:hAnsi="黑体" w:eastAsia="黑体"/>
          <w:sz w:val="32"/>
          <w:szCs w:val="32"/>
        </w:rPr>
        <w:t>第一部分    部门（单位）概况</w:t>
      </w:r>
    </w:p>
    <w:p w14:paraId="5C14F8FC">
      <w:pPr>
        <w:jc w:val="left"/>
        <w:rPr>
          <w:rFonts w:ascii="仿宋" w:hAnsi="仿宋" w:eastAsia="仿宋"/>
          <w:sz w:val="32"/>
          <w:szCs w:val="32"/>
        </w:rPr>
      </w:pPr>
      <w:r>
        <w:rPr>
          <w:rFonts w:hint="eastAsia" w:ascii="仿宋" w:hAnsi="仿宋" w:eastAsia="仿宋"/>
          <w:sz w:val="32"/>
          <w:szCs w:val="32"/>
        </w:rPr>
        <w:t xml:space="preserve">  </w:t>
      </w:r>
    </w:p>
    <w:p w14:paraId="3AC125A6">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名称：永吉县第十中学</w:t>
      </w:r>
    </w:p>
    <w:p w14:paraId="703B71C9">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：事业单位</w:t>
      </w:r>
    </w:p>
    <w:p w14:paraId="570BAD43">
      <w:pPr>
        <w:autoSpaceDE w:val="0"/>
        <w:autoSpaceDN w:val="0"/>
        <w:spacing w:line="540" w:lineRule="exact"/>
        <w:ind w:firstLine="640" w:firstLineChars="200"/>
        <w:rPr>
          <w:rFonts w:ascii="仿宋" w:hAnsi="仿宋" w:eastAsia="仿宋"/>
          <w:bCs/>
          <w:kern w:val="0"/>
          <w:sz w:val="32"/>
          <w:szCs w:val="32"/>
        </w:rPr>
      </w:pPr>
      <w:r>
        <w:rPr>
          <w:rFonts w:hint="eastAsia" w:ascii="仿宋" w:hAnsi="仿宋" w:eastAsia="仿宋"/>
          <w:bCs/>
          <w:kern w:val="0"/>
          <w:sz w:val="32"/>
          <w:szCs w:val="32"/>
        </w:rPr>
        <w:t>主要职能：</w:t>
      </w:r>
    </w:p>
    <w:p w14:paraId="7825B432">
      <w:pPr>
        <w:autoSpaceDE w:val="0"/>
        <w:autoSpaceDN w:val="0"/>
        <w:spacing w:line="540" w:lineRule="exact"/>
        <w:ind w:firstLine="640" w:firstLineChars="200"/>
        <w:rPr>
          <w:rFonts w:ascii="仿宋" w:hAnsi="仿宋" w:eastAsia="仿宋" w:cs="仿宋"/>
          <w:sz w:val="32"/>
          <w:szCs w:val="32"/>
        </w:rPr>
      </w:pPr>
      <w:r>
        <w:rPr>
          <w:rFonts w:hint="eastAsia" w:cs="仿宋"/>
          <w:sz w:val="32"/>
          <w:szCs w:val="32"/>
        </w:rPr>
        <w:t>1、</w:t>
      </w:r>
      <w:r>
        <w:rPr>
          <w:rFonts w:hint="eastAsia" w:ascii="仿宋" w:hAnsi="仿宋" w:eastAsia="仿宋" w:cs="仿宋"/>
          <w:sz w:val="32"/>
          <w:szCs w:val="32"/>
        </w:rPr>
        <w:t>按照《义务教育法》的规定，学校应当按照确定的教学内容和课程设置开展教育教学活动，保证教育教学达到国家规定的基本质量和要求。</w:t>
      </w:r>
    </w:p>
    <w:p w14:paraId="3E6DCEEB">
      <w:pPr>
        <w:autoSpaceDE w:val="0"/>
        <w:autoSpaceDN w:val="0"/>
        <w:spacing w:line="540" w:lineRule="exact"/>
        <w:ind w:firstLine="640" w:firstLineChars="200"/>
        <w:rPr>
          <w:rFonts w:ascii="仿宋" w:hAnsi="仿宋" w:eastAsia="仿宋" w:cs="仿宋"/>
          <w:sz w:val="32"/>
          <w:szCs w:val="32"/>
        </w:rPr>
      </w:pPr>
      <w:r>
        <w:rPr>
          <w:rFonts w:hint="eastAsia" w:cs="仿宋"/>
          <w:sz w:val="32"/>
          <w:szCs w:val="32"/>
        </w:rPr>
        <w:t>2、</w:t>
      </w:r>
      <w:r>
        <w:rPr>
          <w:rFonts w:hint="eastAsia" w:ascii="仿宋" w:hAnsi="仿宋" w:eastAsia="仿宋" w:cs="仿宋"/>
          <w:sz w:val="32"/>
          <w:szCs w:val="32"/>
        </w:rPr>
        <w:t>学校应当把德育放在首位，育德育于教育教学之中，开展与学生年龄相适应的社会实践活动，形成学校、家庭、社会相会配合的思想教育体系，促进学生养成良好的思想品德和行为习惯。</w:t>
      </w:r>
    </w:p>
    <w:p w14:paraId="30BF49E5">
      <w:pPr>
        <w:pStyle w:val="10"/>
        <w:widowControl/>
        <w:spacing w:line="620" w:lineRule="exact"/>
        <w:ind w:firstLine="627" w:firstLineChars="196"/>
        <w:contextualSpacing/>
        <w:rPr>
          <w:rFonts w:ascii="仿宋" w:hAnsi="仿宋" w:eastAsia="仿宋" w:cs="仿宋"/>
          <w:sz w:val="32"/>
          <w:szCs w:val="32"/>
        </w:rPr>
      </w:pPr>
      <w:r>
        <w:rPr>
          <w:rFonts w:hint="eastAsia" w:cs="仿宋"/>
          <w:sz w:val="32"/>
          <w:szCs w:val="32"/>
        </w:rPr>
        <w:t>3、</w:t>
      </w:r>
      <w:r>
        <w:rPr>
          <w:rFonts w:hint="eastAsia" w:ascii="仿宋" w:hAnsi="仿宋" w:eastAsia="仿宋" w:cs="仿宋"/>
          <w:sz w:val="32"/>
          <w:szCs w:val="32"/>
        </w:rPr>
        <w:t>学校应当建立健全安全制度和应急机制，对学生进行安全教育，加强安全等管理，及时消除隐患，预防事故发生。</w:t>
      </w:r>
    </w:p>
    <w:p w14:paraId="43B2CEA1">
      <w:pPr>
        <w:ind w:firstLine="640" w:firstLineChars="200"/>
        <w:rPr>
          <w:rFonts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sz w:val="32"/>
          <w:szCs w:val="32"/>
        </w:rPr>
        <w:t>实施义务教育，促进基础教育发展；初中学历教育</w:t>
      </w:r>
    </w:p>
    <w:p w14:paraId="15DB35D1">
      <w:pPr>
        <w:jc w:val="left"/>
        <w:rPr>
          <w:rFonts w:ascii="仿宋" w:hAnsi="仿宋" w:eastAsia="仿宋"/>
          <w:sz w:val="32"/>
          <w:szCs w:val="32"/>
        </w:rPr>
      </w:pPr>
      <w:r>
        <w:rPr>
          <w:rFonts w:hint="eastAsia" w:ascii="仿宋" w:hAnsi="仿宋" w:eastAsia="仿宋"/>
          <w:sz w:val="32"/>
          <w:szCs w:val="32"/>
        </w:rPr>
        <w:t>二、机构设置</w:t>
      </w:r>
    </w:p>
    <w:p w14:paraId="6B046A1C">
      <w:pPr>
        <w:ind w:firstLine="640" w:firstLineChars="200"/>
        <w:jc w:val="left"/>
        <w:rPr>
          <w:rFonts w:ascii="仿宋" w:hAnsi="仿宋" w:eastAsia="仿宋"/>
          <w:sz w:val="32"/>
          <w:szCs w:val="32"/>
        </w:rPr>
      </w:pPr>
      <w:r>
        <w:rPr>
          <w:rFonts w:hint="eastAsia" w:ascii="仿宋" w:hAnsi="仿宋" w:eastAsia="仿宋"/>
          <w:sz w:val="32"/>
          <w:szCs w:val="32"/>
        </w:rPr>
        <w:t>人员情况：在职人员161人，编制数169人，遗属人员2人。</w:t>
      </w:r>
    </w:p>
    <w:p w14:paraId="3F52511C">
      <w:pPr>
        <w:jc w:val="left"/>
        <w:rPr>
          <w:rFonts w:ascii="仿宋" w:hAnsi="仿宋" w:eastAsia="仿宋"/>
          <w:sz w:val="32"/>
          <w:szCs w:val="32"/>
        </w:rPr>
      </w:pPr>
    </w:p>
    <w:p w14:paraId="382DEDB4">
      <w:pPr>
        <w:jc w:val="left"/>
        <w:rPr>
          <w:rFonts w:ascii="仿宋" w:hAnsi="仿宋" w:eastAsia="仿宋"/>
          <w:sz w:val="32"/>
          <w:szCs w:val="32"/>
        </w:rPr>
      </w:pPr>
    </w:p>
    <w:p w14:paraId="073A1BD8">
      <w:pPr>
        <w:jc w:val="left"/>
        <w:rPr>
          <w:rFonts w:ascii="仿宋" w:hAnsi="仿宋" w:eastAsia="仿宋"/>
          <w:sz w:val="32"/>
          <w:szCs w:val="32"/>
        </w:rPr>
      </w:pPr>
    </w:p>
    <w:p w14:paraId="5BA08465">
      <w:pPr>
        <w:rPr>
          <w:rFonts w:ascii="黑体" w:hAnsi="黑体" w:eastAsia="黑体"/>
          <w:sz w:val="32"/>
          <w:szCs w:val="32"/>
        </w:rPr>
      </w:pPr>
    </w:p>
    <w:p w14:paraId="0FB92CD8">
      <w:pPr>
        <w:jc w:val="center"/>
        <w:rPr>
          <w:rFonts w:ascii="黑体" w:hAnsi="黑体" w:eastAsia="黑体"/>
          <w:sz w:val="32"/>
          <w:szCs w:val="32"/>
        </w:rPr>
      </w:pPr>
      <w:r>
        <w:rPr>
          <w:rFonts w:hint="eastAsia" w:ascii="黑体" w:hAnsi="黑体" w:eastAsia="黑体"/>
          <w:sz w:val="32"/>
          <w:szCs w:val="32"/>
        </w:rPr>
        <w:t>第二部分  情况说明</w:t>
      </w:r>
    </w:p>
    <w:p w14:paraId="7AE326D5">
      <w:pPr>
        <w:jc w:val="left"/>
        <w:rPr>
          <w:rFonts w:ascii="仿宋" w:hAnsi="仿宋" w:eastAsia="仿宋"/>
          <w:sz w:val="32"/>
          <w:szCs w:val="32"/>
        </w:rPr>
      </w:pPr>
      <w:r>
        <w:rPr>
          <w:rFonts w:hint="eastAsia" w:ascii="仿宋" w:hAnsi="仿宋" w:eastAsia="仿宋"/>
          <w:sz w:val="32"/>
          <w:szCs w:val="32"/>
        </w:rPr>
        <w:t xml:space="preserve"> </w:t>
      </w:r>
    </w:p>
    <w:p w14:paraId="2D55397A">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一、2025年收支预算总体情况</w:t>
      </w:r>
    </w:p>
    <w:p w14:paraId="1D0D573E">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 2015.12 万元，比 2024年预算数1843.98 万元增加171.14 万元，主要原因：2024年调入32人 。</w:t>
      </w:r>
    </w:p>
    <w:p w14:paraId="76A83592">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二、2025年收入预算情况</w:t>
      </w:r>
    </w:p>
    <w:p w14:paraId="3AE68406">
      <w:pPr>
        <w:pStyle w:val="11"/>
        <w:ind w:firstLine="640" w:firstLineChars="200"/>
        <w:jc w:val="left"/>
        <w:rPr>
          <w:rFonts w:ascii="仿宋" w:hAnsi="仿宋" w:eastAsia="仿宋"/>
          <w:sz w:val="32"/>
          <w:szCs w:val="32"/>
        </w:rPr>
      </w:pPr>
      <w:r>
        <w:rPr>
          <w:rFonts w:hint="eastAsia" w:ascii="仿宋" w:hAnsi="仿宋" w:eastAsia="仿宋"/>
          <w:sz w:val="32"/>
          <w:szCs w:val="32"/>
        </w:rPr>
        <w:t>2025年本单位收入预算2015.12万元，其中：一般公共预算收入2015.12 万元，占100%；政府性基金收入0万元，占0%。</w:t>
      </w:r>
    </w:p>
    <w:p w14:paraId="61783826">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三、2025年支出预算情况</w:t>
      </w:r>
    </w:p>
    <w:p w14:paraId="03282AC3">
      <w:pPr>
        <w:pStyle w:val="11"/>
        <w:ind w:firstLine="640" w:firstLineChars="200"/>
        <w:rPr>
          <w:rFonts w:ascii="仿宋" w:hAnsi="仿宋" w:eastAsia="仿宋"/>
          <w:sz w:val="32"/>
          <w:szCs w:val="32"/>
        </w:rPr>
      </w:pPr>
      <w:r>
        <w:rPr>
          <w:rFonts w:hint="eastAsia" w:ascii="仿宋" w:hAnsi="仿宋" w:eastAsia="仿宋"/>
          <w:sz w:val="32"/>
          <w:szCs w:val="32"/>
        </w:rPr>
        <w:t>2025年支出预算2015.12万元，其中：基本支出 1982.26 万元，占98.37%；项目支出 32.86万元，占1.63%。</w:t>
      </w:r>
    </w:p>
    <w:p w14:paraId="1BB7639D">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2B0E9482">
      <w:pPr>
        <w:pStyle w:val="11"/>
        <w:ind w:firstLine="640" w:firstLineChars="200"/>
        <w:rPr>
          <w:rFonts w:ascii="仿宋" w:hAnsi="仿宋" w:eastAsia="仿宋"/>
          <w:sz w:val="32"/>
          <w:szCs w:val="32"/>
        </w:rPr>
      </w:pPr>
      <w:r>
        <w:rPr>
          <w:rFonts w:hint="eastAsia" w:ascii="仿宋" w:hAnsi="仿宋" w:eastAsia="仿宋"/>
          <w:sz w:val="32"/>
          <w:szCs w:val="32"/>
        </w:rPr>
        <w:t>2025年财政拨款收支总预算2015.12万元，其中：本年收入2015.12万元。本年支出2015.12万元，支出包括：教育支出1618.50万元，社会保障和就业支出224.80万元，住房保障支出171.82万元.</w:t>
      </w:r>
    </w:p>
    <w:p w14:paraId="33DEA528">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55D7171E">
      <w:pPr>
        <w:ind w:firstLine="640" w:firstLineChars="200"/>
        <w:rPr>
          <w:rFonts w:ascii="仿宋" w:hAnsi="仿宋" w:eastAsia="仿宋"/>
          <w:sz w:val="32"/>
          <w:szCs w:val="32"/>
        </w:rPr>
      </w:pPr>
      <w:r>
        <w:rPr>
          <w:rFonts w:hint="eastAsia" w:ascii="仿宋" w:hAnsi="仿宋" w:eastAsia="仿宋"/>
          <w:sz w:val="32"/>
          <w:szCs w:val="32"/>
        </w:rPr>
        <w:t>2025年一般公共预算当年拨款2015.12万元，其中：基本支出1982.26万元，占98.37%；项目支出32.86万元，占1.63%。基本支出中，人员经费1956.70万元，占98.71%；公用经费25.56万元，占1.29%。</w:t>
      </w:r>
    </w:p>
    <w:p w14:paraId="5EF5C7CD">
      <w:pPr>
        <w:ind w:firstLine="640" w:firstLineChars="200"/>
        <w:rPr>
          <w:rFonts w:ascii="仿宋" w:hAnsi="仿宋" w:eastAsia="仿宋"/>
          <w:sz w:val="32"/>
          <w:szCs w:val="32"/>
        </w:rPr>
      </w:pPr>
      <w:r>
        <w:rPr>
          <w:rFonts w:hint="eastAsia" w:ascii="仿宋" w:hAnsi="仿宋" w:eastAsia="仿宋"/>
          <w:sz w:val="32"/>
          <w:szCs w:val="32"/>
        </w:rPr>
        <w:t>教育支出1618.50万元，占80.32%，主要用于：人员经费及办公经费。</w:t>
      </w:r>
    </w:p>
    <w:p w14:paraId="56AE8D67">
      <w:pPr>
        <w:ind w:firstLine="640" w:firstLineChars="200"/>
        <w:rPr>
          <w:rFonts w:ascii="仿宋" w:hAnsi="仿宋" w:eastAsia="仿宋"/>
          <w:sz w:val="32"/>
          <w:szCs w:val="32"/>
        </w:rPr>
      </w:pPr>
      <w:r>
        <w:rPr>
          <w:rFonts w:hint="eastAsia" w:ascii="仿宋" w:hAnsi="仿宋" w:eastAsia="仿宋"/>
          <w:sz w:val="32"/>
          <w:szCs w:val="32"/>
        </w:rPr>
        <w:t>社会保障和就业（类）支出224.80万元，占11.15%，主要用于：教师养老保险缴费。</w:t>
      </w:r>
    </w:p>
    <w:p w14:paraId="70E11533">
      <w:pPr>
        <w:ind w:firstLine="640" w:firstLineChars="200"/>
        <w:rPr>
          <w:rFonts w:ascii="仿宋" w:hAnsi="仿宋" w:eastAsia="仿宋"/>
          <w:sz w:val="32"/>
          <w:szCs w:val="32"/>
        </w:rPr>
      </w:pPr>
      <w:r>
        <w:rPr>
          <w:rFonts w:hint="eastAsia" w:ascii="仿宋" w:hAnsi="仿宋" w:eastAsia="仿宋"/>
          <w:sz w:val="32"/>
          <w:szCs w:val="32"/>
        </w:rPr>
        <w:t>住房保障（类）支出171.82 万元，占8.53用于：教师住房公积金支出。</w:t>
      </w:r>
    </w:p>
    <w:p w14:paraId="7B778030">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六、2025年一般公共预算基本支出情况</w:t>
      </w:r>
    </w:p>
    <w:p w14:paraId="7E583194">
      <w:pPr>
        <w:ind w:firstLine="640" w:firstLineChars="200"/>
        <w:rPr>
          <w:rFonts w:ascii="仿宋" w:hAnsi="仿宋" w:eastAsia="仿宋"/>
          <w:sz w:val="32"/>
          <w:szCs w:val="32"/>
        </w:rPr>
      </w:pPr>
      <w:r>
        <w:rPr>
          <w:rFonts w:hint="eastAsia" w:ascii="仿宋" w:hAnsi="仿宋" w:eastAsia="仿宋"/>
          <w:sz w:val="32"/>
          <w:szCs w:val="32"/>
        </w:rPr>
        <w:t>2025年一般公共预算基本支出1982.26万元，其中：</w:t>
      </w:r>
    </w:p>
    <w:p w14:paraId="6AD6532A">
      <w:pPr>
        <w:ind w:firstLine="640" w:firstLineChars="200"/>
        <w:rPr>
          <w:rFonts w:ascii="仿宋" w:hAnsi="仿宋" w:eastAsia="仿宋"/>
          <w:sz w:val="32"/>
          <w:szCs w:val="32"/>
        </w:rPr>
      </w:pPr>
      <w:r>
        <w:rPr>
          <w:rFonts w:hint="eastAsia" w:ascii="仿宋" w:hAnsi="仿宋" w:eastAsia="仿宋"/>
          <w:sz w:val="32"/>
          <w:szCs w:val="32"/>
        </w:rPr>
        <w:t>人员经费1956.70万元，主要包括：基本工资、津贴补贴、奖金、绩效工资、机关事业单位基本养老保险缴费、职工基本医疗保险缴费、其他社会保障缴费、住房公积金、其他工资福利支出、生活补助、其他对个人和家庭补助支出等；</w:t>
      </w:r>
    </w:p>
    <w:p w14:paraId="2F1F09B6">
      <w:pPr>
        <w:pStyle w:val="9"/>
        <w:ind w:firstLine="627" w:firstLineChars="196"/>
        <w:rPr>
          <w:rFonts w:ascii="仿宋" w:hAnsi="仿宋" w:eastAsia="仿宋"/>
          <w:kern w:val="0"/>
          <w:sz w:val="32"/>
          <w:szCs w:val="32"/>
        </w:rPr>
      </w:pPr>
      <w:r>
        <w:rPr>
          <w:rFonts w:hint="eastAsia" w:ascii="仿宋" w:hAnsi="仿宋" w:eastAsia="仿宋"/>
          <w:sz w:val="32"/>
          <w:szCs w:val="32"/>
        </w:rPr>
        <w:t>公用经费25.56万元，主要包括：工会经费。</w:t>
      </w:r>
    </w:p>
    <w:p w14:paraId="3231DF51">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670127F4">
      <w:pPr>
        <w:pStyle w:val="9"/>
        <w:ind w:firstLine="640" w:firstLineChars="200"/>
        <w:rPr>
          <w:rFonts w:ascii="楷体" w:hAnsi="楷体" w:eastAsia="楷体"/>
          <w:kern w:val="0"/>
          <w:sz w:val="32"/>
          <w:szCs w:val="32"/>
        </w:rPr>
      </w:pPr>
      <w:r>
        <w:rPr>
          <w:rFonts w:hint="eastAsia" w:ascii="楷体" w:hAnsi="楷体" w:eastAsia="楷体"/>
          <w:kern w:val="0"/>
          <w:sz w:val="32"/>
          <w:szCs w:val="32"/>
        </w:rPr>
        <w:t>2025年本单位无</w:t>
      </w:r>
      <w:r>
        <w:rPr>
          <w:rFonts w:hint="eastAsia" w:ascii="仿宋" w:hAnsi="仿宋" w:eastAsia="仿宋"/>
          <w:kern w:val="0"/>
          <w:sz w:val="32"/>
          <w:szCs w:val="32"/>
        </w:rPr>
        <w:t>“三公”经费预算支出。</w:t>
      </w:r>
    </w:p>
    <w:p w14:paraId="06E8CED3">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八、2025年政府性基金预算支出情况</w:t>
      </w:r>
    </w:p>
    <w:p w14:paraId="5067CA89">
      <w:pPr>
        <w:ind w:firstLine="640" w:firstLineChars="200"/>
        <w:jc w:val="left"/>
        <w:rPr>
          <w:rFonts w:ascii="仿宋" w:hAnsi="仿宋" w:eastAsia="仿宋"/>
          <w:sz w:val="32"/>
          <w:szCs w:val="32"/>
        </w:rPr>
      </w:pPr>
      <w:r>
        <w:rPr>
          <w:rFonts w:hint="eastAsia" w:ascii="仿宋" w:hAnsi="仿宋" w:eastAsia="仿宋"/>
          <w:sz w:val="32"/>
          <w:szCs w:val="32"/>
        </w:rPr>
        <w:t>2025年本单位无政府性基金预算支出。</w:t>
      </w:r>
    </w:p>
    <w:p w14:paraId="37558714">
      <w:pPr>
        <w:pStyle w:val="9"/>
        <w:ind w:firstLine="640"/>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1338B5A8">
      <w:pPr>
        <w:ind w:firstLine="640" w:firstLineChars="200"/>
        <w:jc w:val="left"/>
        <w:rPr>
          <w:rFonts w:ascii="仿宋" w:hAnsi="仿宋" w:eastAsia="仿宋"/>
          <w:sz w:val="32"/>
          <w:szCs w:val="32"/>
        </w:rPr>
      </w:pPr>
      <w:r>
        <w:rPr>
          <w:rFonts w:hint="eastAsia" w:ascii="仿宋" w:hAnsi="仿宋" w:eastAsia="仿宋"/>
          <w:sz w:val="32"/>
          <w:szCs w:val="32"/>
        </w:rPr>
        <w:t>2025年本单位无国有资本经营预算支出。</w:t>
      </w:r>
    </w:p>
    <w:p w14:paraId="5916B44E">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59674244">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7A894036">
      <w:pPr>
        <w:pStyle w:val="8"/>
        <w:ind w:firstLine="640"/>
        <w:rPr>
          <w:rFonts w:ascii="仿宋" w:hAnsi="仿宋" w:eastAsia="仿宋"/>
          <w:sz w:val="32"/>
          <w:szCs w:val="32"/>
        </w:rPr>
      </w:pPr>
      <w:r>
        <w:rPr>
          <w:rFonts w:hint="eastAsia" w:ascii="仿宋" w:hAnsi="仿宋" w:eastAsia="仿宋"/>
          <w:sz w:val="32"/>
          <w:szCs w:val="32"/>
        </w:rPr>
        <w:t>2025年本单位机关运行经费财政拨款预算25.56 万元，比 2024年预算减少3.9万元，下降13.24%，主要原因是公用经费未列。</w:t>
      </w:r>
    </w:p>
    <w:p w14:paraId="6DBF9D91">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4DDD6F25">
      <w:pPr>
        <w:ind w:firstLine="800" w:firstLineChars="250"/>
        <w:jc w:val="left"/>
        <w:rPr>
          <w:rFonts w:ascii="仿宋" w:hAnsi="仿宋" w:eastAsia="仿宋"/>
          <w:sz w:val="32"/>
          <w:szCs w:val="32"/>
        </w:rPr>
      </w:pPr>
      <w:r>
        <w:rPr>
          <w:rFonts w:hint="eastAsia" w:ascii="仿宋" w:hAnsi="仿宋" w:eastAsia="仿宋"/>
          <w:sz w:val="32"/>
          <w:szCs w:val="32"/>
        </w:rPr>
        <w:t>2025年本单位无政府采购预算支出。</w:t>
      </w:r>
    </w:p>
    <w:p w14:paraId="589617E2">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181510D0">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截至2025年1月，部门本级和所属各预算单位共有车辆0 辆，其中，领导干部用车 0辆、一般公务用车 0辆,一般执法执勤用车0辆、特种专业技术用车0辆、其他用车0辆，价值200万元以上大型设备0台（套）。</w:t>
      </w:r>
    </w:p>
    <w:p w14:paraId="5C7B97C3">
      <w:pPr>
        <w:pStyle w:val="8"/>
        <w:ind w:firstLine="640"/>
        <w:jc w:val="left"/>
        <w:rPr>
          <w:rFonts w:ascii="仿宋" w:hAnsi="仿宋" w:eastAsia="仿宋"/>
          <w:sz w:val="32"/>
          <w:szCs w:val="32"/>
        </w:rPr>
      </w:pPr>
      <w:r>
        <w:rPr>
          <w:rFonts w:hint="eastAsia" w:ascii="仿宋" w:hAnsi="仿宋" w:eastAsia="仿宋"/>
          <w:sz w:val="32"/>
          <w:szCs w:val="32"/>
        </w:rPr>
        <w:t>2025年部门预算安排购置车辆及价值200万元以上大型设备 0万元。</w:t>
      </w:r>
    </w:p>
    <w:p w14:paraId="3E156B98">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43F17AF2">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按照全面实施预算绩效管理的要求，结合本部门职能和重点工作，2025年将 1 个项目支出的绩效目标和指标向社会公开，涉及金额32.86万元。</w:t>
      </w:r>
    </w:p>
    <w:p w14:paraId="62AA739D">
      <w:pPr>
        <w:jc w:val="center"/>
        <w:rPr>
          <w:rFonts w:ascii="仿宋" w:hAnsi="仿宋" w:eastAsia="仿宋"/>
          <w:sz w:val="32"/>
          <w:szCs w:val="32"/>
        </w:rPr>
      </w:pPr>
    </w:p>
    <w:p w14:paraId="043999A5">
      <w:pPr>
        <w:rPr>
          <w:rFonts w:hint="eastAsia" w:ascii="黑体" w:hAnsi="黑体" w:eastAsia="黑体"/>
          <w:sz w:val="32"/>
          <w:szCs w:val="32"/>
        </w:rPr>
      </w:pPr>
      <w:r>
        <w:rPr>
          <w:rFonts w:hint="eastAsia" w:ascii="黑体" w:hAnsi="黑体" w:eastAsia="黑体"/>
          <w:sz w:val="32"/>
          <w:szCs w:val="32"/>
        </w:rPr>
        <w:br w:type="page"/>
      </w:r>
    </w:p>
    <w:p w14:paraId="754C8C6A">
      <w:pPr>
        <w:jc w:val="center"/>
        <w:rPr>
          <w:rFonts w:ascii="黑体" w:hAnsi="黑体" w:eastAsia="黑体"/>
          <w:sz w:val="32"/>
          <w:szCs w:val="32"/>
        </w:rPr>
      </w:pPr>
      <w:r>
        <w:rPr>
          <w:rFonts w:hint="eastAsia" w:ascii="黑体" w:hAnsi="黑体" w:eastAsia="黑体"/>
          <w:sz w:val="32"/>
          <w:szCs w:val="32"/>
        </w:rPr>
        <w:t>第三部分  名词解释</w:t>
      </w:r>
    </w:p>
    <w:p w14:paraId="51803154">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131D475">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02A26A2D">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590DBDE2">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5940785C">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54DC0F03">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1EE983A1">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5934583C">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2F9395DA">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22516994">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72DAA0B">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1BA99F7D">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75E1F642">
      <w:pPr>
        <w:ind w:firstLine="640" w:firstLineChars="200"/>
        <w:rPr>
          <w:rFonts w:ascii="仿宋_GB2312" w:eastAsia="仿宋_GB2312"/>
          <w:sz w:val="32"/>
          <w:szCs w:val="32"/>
        </w:rPr>
      </w:pPr>
    </w:p>
    <w:p w14:paraId="66CB3EB3">
      <w:pPr>
        <w:jc w:val="left"/>
        <w:rPr>
          <w:rFonts w:ascii="仿宋" w:hAnsi="仿宋" w:eastAsia="仿宋"/>
          <w:sz w:val="32"/>
          <w:szCs w:val="32"/>
        </w:rPr>
      </w:pPr>
      <w:r>
        <w:rPr>
          <w:rFonts w:hint="eastAsia" w:ascii="仿宋" w:hAnsi="仿宋" w:eastAsia="仿宋"/>
          <w:sz w:val="32"/>
          <w:szCs w:val="32"/>
        </w:rPr>
        <w:t xml:space="preserve"> </w:t>
      </w:r>
    </w:p>
    <w:p w14:paraId="5364543E">
      <w:pPr>
        <w:jc w:val="left"/>
        <w:rPr>
          <w:rFonts w:ascii="仿宋" w:hAnsi="仿宋" w:eastAsia="仿宋"/>
          <w:sz w:val="32"/>
          <w:szCs w:val="32"/>
        </w:rPr>
      </w:pPr>
    </w:p>
    <w:p w14:paraId="0EB17BB8">
      <w:pPr>
        <w:jc w:val="left"/>
        <w:rPr>
          <w:rFonts w:ascii="仿宋" w:hAnsi="仿宋" w:eastAsia="仿宋"/>
          <w:sz w:val="32"/>
          <w:szCs w:val="32"/>
        </w:rPr>
      </w:pPr>
    </w:p>
    <w:p w14:paraId="51626A6E">
      <w:pPr>
        <w:rPr>
          <w:rFonts w:hint="eastAsia" w:ascii="黑体" w:hAnsi="黑体" w:eastAsia="黑体"/>
          <w:sz w:val="32"/>
          <w:szCs w:val="32"/>
        </w:rPr>
      </w:pPr>
      <w:r>
        <w:rPr>
          <w:rFonts w:hint="eastAsia" w:ascii="黑体" w:hAnsi="黑体" w:eastAsia="黑体"/>
          <w:sz w:val="32"/>
          <w:szCs w:val="32"/>
        </w:rPr>
        <w:br w:type="page"/>
      </w:r>
    </w:p>
    <w:p w14:paraId="27B6F281">
      <w:pPr>
        <w:jc w:val="center"/>
        <w:rPr>
          <w:rFonts w:hint="eastAsia" w:ascii="黑体" w:hAnsi="黑体" w:eastAsia="黑体"/>
          <w:sz w:val="32"/>
          <w:szCs w:val="32"/>
        </w:rPr>
      </w:pPr>
      <w:r>
        <w:rPr>
          <w:rFonts w:hint="eastAsia" w:ascii="黑体" w:hAnsi="黑体" w:eastAsia="黑体"/>
          <w:sz w:val="32"/>
          <w:szCs w:val="32"/>
        </w:rPr>
        <w:t>第四部分  预算表格</w:t>
      </w:r>
    </w:p>
    <w:p w14:paraId="564591B1">
      <w:pPr>
        <w:ind w:firstLine="640" w:firstLineChars="200"/>
        <w:jc w:val="left"/>
        <w:rPr>
          <w:rFonts w:hint="eastAsia" w:ascii="仿宋" w:hAnsi="仿宋" w:eastAsia="仿宋"/>
          <w:sz w:val="32"/>
          <w:szCs w:val="32"/>
        </w:rPr>
      </w:pPr>
    </w:p>
    <w:p w14:paraId="63DE385F">
      <w:pPr>
        <w:ind w:firstLine="640" w:firstLineChars="200"/>
        <w:jc w:val="left"/>
        <w:rPr>
          <w:rFonts w:ascii="仿宋" w:hAnsi="仿宋" w:eastAsia="仿宋"/>
          <w:sz w:val="32"/>
          <w:szCs w:val="32"/>
        </w:rPr>
      </w:pPr>
      <w:r>
        <w:rPr>
          <w:rFonts w:hint="eastAsia" w:ascii="仿宋" w:hAnsi="仿宋" w:eastAsia="仿宋"/>
          <w:sz w:val="32"/>
          <w:szCs w:val="32"/>
        </w:rPr>
        <w:t>2025年部门预算表套表（预算一体化系统报表查询模块中提取相应数据）。</w:t>
      </w:r>
    </w:p>
    <w:p w14:paraId="49B355DD">
      <w:pPr>
        <w:rPr>
          <w:rFonts w:ascii="仿宋" w:hAnsi="仿宋" w:eastAsia="仿宋"/>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A68F9"/>
    <w:rsid w:val="000F1013"/>
    <w:rsid w:val="000F2EE4"/>
    <w:rsid w:val="0010003D"/>
    <w:rsid w:val="00124BCE"/>
    <w:rsid w:val="001648F3"/>
    <w:rsid w:val="00170416"/>
    <w:rsid w:val="00197A4E"/>
    <w:rsid w:val="001A381C"/>
    <w:rsid w:val="001A4D62"/>
    <w:rsid w:val="001E24AD"/>
    <w:rsid w:val="001F239D"/>
    <w:rsid w:val="00242E9B"/>
    <w:rsid w:val="00251CE0"/>
    <w:rsid w:val="00251F84"/>
    <w:rsid w:val="002E0B3B"/>
    <w:rsid w:val="002F1115"/>
    <w:rsid w:val="002F3222"/>
    <w:rsid w:val="0034243B"/>
    <w:rsid w:val="00357E92"/>
    <w:rsid w:val="00380C14"/>
    <w:rsid w:val="003B5F35"/>
    <w:rsid w:val="004176EB"/>
    <w:rsid w:val="004763A7"/>
    <w:rsid w:val="00482664"/>
    <w:rsid w:val="004C1015"/>
    <w:rsid w:val="0051537F"/>
    <w:rsid w:val="00567D16"/>
    <w:rsid w:val="00572D27"/>
    <w:rsid w:val="00576DB1"/>
    <w:rsid w:val="0059597A"/>
    <w:rsid w:val="005C384D"/>
    <w:rsid w:val="005F0428"/>
    <w:rsid w:val="00622E82"/>
    <w:rsid w:val="00660D75"/>
    <w:rsid w:val="006954BF"/>
    <w:rsid w:val="00722D32"/>
    <w:rsid w:val="00735D85"/>
    <w:rsid w:val="00740031"/>
    <w:rsid w:val="00745992"/>
    <w:rsid w:val="00746DAF"/>
    <w:rsid w:val="007663EF"/>
    <w:rsid w:val="00770198"/>
    <w:rsid w:val="00773E0D"/>
    <w:rsid w:val="007B276D"/>
    <w:rsid w:val="007D3846"/>
    <w:rsid w:val="00806CC6"/>
    <w:rsid w:val="00815C4B"/>
    <w:rsid w:val="0089282A"/>
    <w:rsid w:val="008B501D"/>
    <w:rsid w:val="00942596"/>
    <w:rsid w:val="00950523"/>
    <w:rsid w:val="00971A2E"/>
    <w:rsid w:val="009A3FBB"/>
    <w:rsid w:val="009B2F36"/>
    <w:rsid w:val="009C3948"/>
    <w:rsid w:val="009E4C36"/>
    <w:rsid w:val="009F251C"/>
    <w:rsid w:val="00A12A00"/>
    <w:rsid w:val="00A136BB"/>
    <w:rsid w:val="00A26DC8"/>
    <w:rsid w:val="00A31D89"/>
    <w:rsid w:val="00A35B84"/>
    <w:rsid w:val="00A3789D"/>
    <w:rsid w:val="00A60D1F"/>
    <w:rsid w:val="00A64FF7"/>
    <w:rsid w:val="00A73987"/>
    <w:rsid w:val="00A752E3"/>
    <w:rsid w:val="00AE2415"/>
    <w:rsid w:val="00AE2B4F"/>
    <w:rsid w:val="00AE2F02"/>
    <w:rsid w:val="00AF32ED"/>
    <w:rsid w:val="00B03AD0"/>
    <w:rsid w:val="00B2091C"/>
    <w:rsid w:val="00B27940"/>
    <w:rsid w:val="00B36C0B"/>
    <w:rsid w:val="00B62C43"/>
    <w:rsid w:val="00B74A8E"/>
    <w:rsid w:val="00B75164"/>
    <w:rsid w:val="00C24CCF"/>
    <w:rsid w:val="00C37526"/>
    <w:rsid w:val="00C61D37"/>
    <w:rsid w:val="00CB2087"/>
    <w:rsid w:val="00CC2C0E"/>
    <w:rsid w:val="00CE6FE2"/>
    <w:rsid w:val="00CF7FF2"/>
    <w:rsid w:val="00D27859"/>
    <w:rsid w:val="00D463CF"/>
    <w:rsid w:val="00D54CC0"/>
    <w:rsid w:val="00D931C6"/>
    <w:rsid w:val="00DA2F9D"/>
    <w:rsid w:val="00DA5EFE"/>
    <w:rsid w:val="00DB4298"/>
    <w:rsid w:val="00DC6B72"/>
    <w:rsid w:val="00DF38C6"/>
    <w:rsid w:val="00E168F9"/>
    <w:rsid w:val="00E20B1E"/>
    <w:rsid w:val="00E343EE"/>
    <w:rsid w:val="00E53AE6"/>
    <w:rsid w:val="00EA359C"/>
    <w:rsid w:val="00EB321B"/>
    <w:rsid w:val="00EB3F47"/>
    <w:rsid w:val="00ED0CE4"/>
    <w:rsid w:val="00ED41A2"/>
    <w:rsid w:val="00F30AB2"/>
    <w:rsid w:val="00F51569"/>
    <w:rsid w:val="00F5562D"/>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CBC11DF"/>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2421</Words>
  <Characters>2712</Characters>
  <Lines>20</Lines>
  <Paragraphs>5</Paragraphs>
  <TotalTime>139</TotalTime>
  <ScaleCrop>false</ScaleCrop>
  <LinksUpToDate>false</LinksUpToDate>
  <CharactersWithSpaces>2793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2025-04-08T05:40:10Z</dcterms:modified>
  <cp:revision>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