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38E47C69">
      <w:pPr>
        <w:jc w:val="center"/>
        <w:rPr>
          <w:rFonts w:hint="eastAsia" w:ascii="黑体" w:hAnsi="黑体" w:eastAsia="黑体"/>
          <w:sz w:val="52"/>
          <w:szCs w:val="52"/>
          <w:lang w:eastAsia="zh-CN"/>
        </w:rPr>
      </w:pPr>
      <w:r>
        <w:rPr>
          <w:rFonts w:hint="eastAsia" w:ascii="黑体" w:hAnsi="黑体" w:eastAsia="黑体"/>
          <w:sz w:val="52"/>
          <w:szCs w:val="52"/>
          <w:lang w:eastAsia="zh-CN"/>
        </w:rPr>
        <w:t>永吉县产品质量计量检测所</w:t>
      </w:r>
    </w:p>
    <w:p w14:paraId="0050A5F4">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yellow"/>
        </w:rPr>
      </w:pPr>
      <w:r>
        <w:rPr>
          <w:rFonts w:hint="eastAsia" w:ascii="黑体" w:hAnsi="黑体" w:eastAsia="黑体"/>
          <w:sz w:val="44"/>
          <w:szCs w:val="44"/>
          <w:highlight w:val="yellow"/>
        </w:rPr>
        <w:t>二〇二</w:t>
      </w:r>
      <w:r>
        <w:rPr>
          <w:rFonts w:hint="eastAsia" w:ascii="黑体" w:hAnsi="黑体" w:eastAsia="黑体"/>
          <w:sz w:val="44"/>
          <w:szCs w:val="44"/>
          <w:highlight w:val="yellow"/>
          <w:lang w:eastAsia="zh-CN"/>
        </w:rPr>
        <w:t>五</w:t>
      </w:r>
      <w:r>
        <w:rPr>
          <w:rFonts w:hint="eastAsia" w:ascii="黑体" w:hAnsi="黑体" w:eastAsia="黑体"/>
          <w:sz w:val="44"/>
          <w:szCs w:val="44"/>
          <w:highlight w:val="yellow"/>
        </w:rPr>
        <w:t>年一月</w:t>
      </w:r>
      <w:r>
        <w:rPr>
          <w:rFonts w:hint="eastAsia" w:ascii="黑体" w:hAnsi="黑体" w:eastAsia="黑体"/>
          <w:sz w:val="44"/>
          <w:szCs w:val="44"/>
          <w:highlight w:val="yellow"/>
          <w:lang w:eastAsia="zh-CN"/>
        </w:rPr>
        <w:t>三</w:t>
      </w:r>
      <w:r>
        <w:rPr>
          <w:rFonts w:hint="eastAsia" w:ascii="黑体" w:hAnsi="黑体" w:eastAsia="黑体"/>
          <w:sz w:val="44"/>
          <w:szCs w:val="44"/>
          <w:highlight w:val="yellow"/>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24A9892A">
      <w:pPr>
        <w:jc w:val="center"/>
        <w:rPr>
          <w:rFonts w:hint="eastAsia" w:ascii="黑体" w:hAnsi="黑体" w:eastAsia="黑体"/>
          <w:sz w:val="44"/>
          <w:szCs w:val="44"/>
          <w:highlight w:val="none"/>
          <w:shd w:val="clear" w:fill="FFFFFF" w:themeFill="background1"/>
          <w:lang w:eastAsia="zh-CN"/>
        </w:rPr>
      </w:pPr>
      <w:r>
        <w:rPr>
          <w:rFonts w:hint="eastAsia" w:ascii="黑体" w:hAnsi="黑体" w:eastAsia="黑体"/>
          <w:sz w:val="44"/>
          <w:szCs w:val="44"/>
          <w:highlight w:val="none"/>
          <w:shd w:val="clear" w:fill="FFFFFF" w:themeFill="background1"/>
          <w:lang w:eastAsia="zh-CN"/>
        </w:rPr>
        <w:t>永吉县产品质量计量检测所</w:t>
      </w:r>
    </w:p>
    <w:p w14:paraId="406F54B2">
      <w:pPr>
        <w:jc w:val="center"/>
        <w:rPr>
          <w:rFonts w:ascii="黑体" w:hAnsi="黑体" w:eastAsia="黑体"/>
          <w:sz w:val="44"/>
          <w:szCs w:val="44"/>
        </w:rPr>
      </w:pP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3B3633EB">
      <w:pPr>
        <w:pStyle w:val="10"/>
        <w:widowControl/>
        <w:spacing w:line="620" w:lineRule="exact"/>
        <w:ind w:firstLine="627" w:firstLineChars="196"/>
        <w:contextualSpacing/>
        <w:rPr>
          <w:rFonts w:hint="eastAsia" w:ascii="仿宋" w:hAnsi="仿宋" w:eastAsia="仿宋"/>
          <w:bCs/>
          <w:sz w:val="32"/>
          <w:szCs w:val="32"/>
          <w:lang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eastAsia="zh-CN"/>
        </w:rPr>
        <w:t>永吉县产品质量计量检测所</w:t>
      </w:r>
    </w:p>
    <w:p w14:paraId="11D70CF8">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：公益一类事业单位</w:t>
      </w:r>
    </w:p>
    <w:p w14:paraId="6ACE3B8C">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rPr>
        <w:t>主要职能：</w:t>
      </w:r>
      <w:r>
        <w:rPr>
          <w:rFonts w:hint="eastAsia" w:ascii="仿宋" w:hAnsi="仿宋" w:eastAsia="仿宋"/>
          <w:kern w:val="0"/>
          <w:sz w:val="32"/>
          <w:szCs w:val="32"/>
        </w:rPr>
        <w:t>为产品 食品 药品及食品添加剂 化妆品 医疗器械等各个领域质量检验检测提供服务保障 按照资质认定证书规定的检验检测能力范围 承担辖区内产品 食品（含大米 榛子 柞蚕等食用农产品） 药品及食品添加剂 化妆品 医疗器械等各类产品质量监督检验 委托检验和仲裁检验 负责辖区的量值传递工作 依法从事计量器具强制检定 计量器具仲裁检定工作</w:t>
      </w:r>
    </w:p>
    <w:p w14:paraId="3517384B">
      <w:pPr>
        <w:ind w:firstLine="435"/>
        <w:rPr>
          <w:rFonts w:hint="eastAsia" w:ascii="仿宋_GB2312" w:hAnsi="宋体" w:eastAsia="仿宋_GB2312" w:cs="Times New Roman"/>
          <w:sz w:val="32"/>
          <w:szCs w:val="32"/>
        </w:rPr>
      </w:pPr>
      <w:r>
        <w:rPr>
          <w:rFonts w:hint="eastAsia" w:ascii="仿宋" w:hAnsi="仿宋" w:eastAsia="仿宋"/>
          <w:bCs/>
          <w:kern w:val="0"/>
          <w:sz w:val="32"/>
          <w:szCs w:val="32"/>
        </w:rPr>
        <w:t>主要业务：</w:t>
      </w:r>
      <w:r>
        <w:rPr>
          <w:rFonts w:hint="eastAsia" w:ascii="仿宋_GB2312" w:hAnsi="宋体" w:eastAsia="仿宋_GB2312" w:cs="Times New Roman"/>
          <w:sz w:val="32"/>
          <w:szCs w:val="32"/>
        </w:rPr>
        <w:t>为产品 食品 药品及食品添加剂 化妆品 医疗器械等各个领域质量检验检测提供服务保障 按照资质认定证书规定的检验检测能力范围 承担辖区内产品 食品（含大米 榛子 柞蚕等食用农产品） 药品及食品添加剂 化妆品 医疗器械等各类产品质量监督检验 委托检验和仲裁检验 负责辖区的量值传递工作 依法从事计量器具强制检定 计量器具仲裁检定工作</w:t>
      </w:r>
    </w:p>
    <w:p w14:paraId="6D752CA2">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7AEC6E06">
      <w:pPr>
        <w:pStyle w:val="12"/>
        <w:ind w:firstLine="627" w:firstLineChars="196"/>
        <w:rPr>
          <w:rFonts w:ascii="仿宋" w:hAnsi="仿宋" w:eastAsia="仿宋"/>
          <w:kern w:val="0"/>
          <w:szCs w:val="32"/>
        </w:rPr>
      </w:pPr>
      <w:r>
        <w:rPr>
          <w:rFonts w:hint="eastAsia" w:ascii="仿宋" w:hAnsi="仿宋" w:eastAsia="仿宋"/>
          <w:kern w:val="0"/>
          <w:szCs w:val="32"/>
        </w:rPr>
        <w:t>机构设置包括：单位设有</w:t>
      </w:r>
      <w:r>
        <w:rPr>
          <w:rFonts w:ascii="仿宋" w:hAnsi="仿宋" w:eastAsia="仿宋"/>
          <w:kern w:val="0"/>
          <w:szCs w:val="32"/>
        </w:rPr>
        <w:t>食品检验室</w:t>
      </w:r>
      <w:r>
        <w:rPr>
          <w:rFonts w:hint="eastAsia" w:ascii="仿宋" w:hAnsi="仿宋" w:eastAsia="仿宋"/>
          <w:kern w:val="0"/>
          <w:szCs w:val="32"/>
        </w:rPr>
        <w:t>、化肥</w:t>
      </w:r>
      <w:r>
        <w:rPr>
          <w:rFonts w:ascii="仿宋" w:hAnsi="仿宋" w:eastAsia="仿宋"/>
          <w:kern w:val="0"/>
          <w:szCs w:val="32"/>
        </w:rPr>
        <w:t>检验室</w:t>
      </w:r>
      <w:r>
        <w:rPr>
          <w:rFonts w:hint="eastAsia" w:ascii="仿宋" w:hAnsi="仿宋" w:eastAsia="仿宋"/>
          <w:kern w:val="0"/>
          <w:szCs w:val="32"/>
        </w:rPr>
        <w:t>、建材</w:t>
      </w:r>
      <w:r>
        <w:rPr>
          <w:rFonts w:ascii="仿宋" w:hAnsi="仿宋" w:eastAsia="仿宋"/>
          <w:kern w:val="0"/>
          <w:szCs w:val="32"/>
        </w:rPr>
        <w:t>检验室</w:t>
      </w:r>
      <w:r>
        <w:rPr>
          <w:rFonts w:hint="eastAsia" w:ascii="仿宋" w:hAnsi="仿宋" w:eastAsia="仿宋"/>
          <w:kern w:val="0"/>
          <w:szCs w:val="32"/>
        </w:rPr>
        <w:t>、衡器室、</w:t>
      </w:r>
      <w:r>
        <w:rPr>
          <w:rFonts w:ascii="仿宋" w:hAnsi="仿宋" w:eastAsia="仿宋"/>
          <w:kern w:val="0"/>
          <w:szCs w:val="32"/>
        </w:rPr>
        <w:t xml:space="preserve"> 压力表室</w:t>
      </w:r>
      <w:r>
        <w:rPr>
          <w:rFonts w:hint="eastAsia" w:ascii="仿宋" w:hAnsi="仿宋" w:eastAsia="仿宋"/>
          <w:kern w:val="0"/>
          <w:szCs w:val="32"/>
        </w:rPr>
        <w:t>、</w:t>
      </w:r>
      <w:r>
        <w:rPr>
          <w:rFonts w:ascii="仿宋" w:hAnsi="仿宋" w:eastAsia="仿宋"/>
          <w:kern w:val="0"/>
          <w:szCs w:val="32"/>
        </w:rPr>
        <w:t>血压计室</w:t>
      </w:r>
      <w:r>
        <w:rPr>
          <w:rFonts w:hint="eastAsia" w:ascii="仿宋" w:hAnsi="仿宋" w:eastAsia="仿宋"/>
          <w:kern w:val="0"/>
          <w:szCs w:val="32"/>
        </w:rPr>
        <w:t>、</w:t>
      </w:r>
      <w:r>
        <w:rPr>
          <w:rFonts w:ascii="仿宋" w:hAnsi="仿宋" w:eastAsia="仿宋"/>
          <w:kern w:val="0"/>
          <w:szCs w:val="32"/>
        </w:rPr>
        <w:t>天砝室</w:t>
      </w:r>
      <w:r>
        <w:rPr>
          <w:rFonts w:hint="eastAsia" w:ascii="仿宋" w:hAnsi="仿宋" w:eastAsia="仿宋"/>
          <w:kern w:val="0"/>
          <w:szCs w:val="32"/>
        </w:rPr>
        <w:t>、加油机室、定量包装净含量室、水表室</w:t>
      </w:r>
      <w:r>
        <w:rPr>
          <w:rFonts w:hint="eastAsia" w:ascii="仿宋" w:hAnsi="仿宋" w:eastAsia="仿宋"/>
          <w:kern w:val="0"/>
          <w:szCs w:val="32"/>
          <w:lang w:eastAsia="zh-CN"/>
        </w:rPr>
        <w:t>、财务室、办公室</w:t>
      </w:r>
      <w:r>
        <w:rPr>
          <w:rFonts w:hint="eastAsia" w:ascii="仿宋" w:hAnsi="仿宋" w:eastAsia="仿宋"/>
          <w:kern w:val="0"/>
          <w:szCs w:val="32"/>
        </w:rPr>
        <w:t>。</w:t>
      </w:r>
    </w:p>
    <w:p w14:paraId="022FE967">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10</w:t>
      </w:r>
      <w:r>
        <w:rPr>
          <w:rFonts w:hint="eastAsia" w:ascii="仿宋" w:hAnsi="仿宋" w:eastAsia="仿宋"/>
          <w:kern w:val="0"/>
          <w:szCs w:val="32"/>
        </w:rPr>
        <w:t>人，编制数</w:t>
      </w:r>
      <w:r>
        <w:rPr>
          <w:rFonts w:hint="eastAsia" w:ascii="仿宋" w:hAnsi="仿宋" w:eastAsia="仿宋"/>
          <w:kern w:val="0"/>
          <w:szCs w:val="32"/>
          <w:lang w:val="en-US" w:eastAsia="zh-CN"/>
        </w:rPr>
        <w:t>11</w:t>
      </w:r>
      <w:r>
        <w:rPr>
          <w:rFonts w:hint="eastAsia" w:ascii="仿宋" w:hAnsi="仿宋" w:eastAsia="仿宋"/>
          <w:kern w:val="0"/>
          <w:szCs w:val="32"/>
        </w:rPr>
        <w:t>人，领导职数</w:t>
      </w:r>
      <w:r>
        <w:rPr>
          <w:rFonts w:hint="eastAsia" w:ascii="仿宋" w:hAnsi="仿宋" w:eastAsia="仿宋"/>
          <w:kern w:val="0"/>
          <w:szCs w:val="32"/>
          <w:lang w:val="en-US" w:eastAsia="zh-CN"/>
        </w:rPr>
        <w:t>2</w:t>
      </w:r>
      <w:r>
        <w:rPr>
          <w:rFonts w:hint="eastAsia" w:ascii="仿宋" w:hAnsi="仿宋" w:eastAsia="仿宋"/>
          <w:kern w:val="0"/>
          <w:szCs w:val="32"/>
        </w:rPr>
        <w:t>个。</w:t>
      </w:r>
    </w:p>
    <w:p w14:paraId="3F194C91">
      <w:pPr>
        <w:jc w:val="left"/>
        <w:rPr>
          <w:rFonts w:ascii="仿宋" w:hAnsi="仿宋" w:eastAsia="仿宋"/>
          <w:sz w:val="32"/>
          <w:szCs w:val="32"/>
        </w:rPr>
      </w:pPr>
      <w:r>
        <w:rPr>
          <w:rFonts w:hint="eastAsia" w:ascii="仿宋" w:hAnsi="仿宋" w:eastAsia="仿宋"/>
          <w:sz w:val="32"/>
          <w:szCs w:val="32"/>
        </w:rPr>
        <w:t xml:space="preserve">   </w:t>
      </w:r>
    </w:p>
    <w:p w14:paraId="6731B470">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57CB687A">
      <w:pPr>
        <w:jc w:val="left"/>
        <w:rPr>
          <w:rFonts w:ascii="仿宋" w:hAnsi="仿宋" w:eastAsia="仿宋"/>
          <w:sz w:val="32"/>
          <w:szCs w:val="32"/>
        </w:rPr>
      </w:pPr>
    </w:p>
    <w:p w14:paraId="00B77722">
      <w:pPr>
        <w:jc w:val="left"/>
        <w:rPr>
          <w:rFonts w:ascii="仿宋" w:hAnsi="仿宋" w:eastAsia="仿宋"/>
          <w:sz w:val="32"/>
          <w:szCs w:val="32"/>
        </w:rPr>
      </w:pPr>
    </w:p>
    <w:p w14:paraId="546B2C04">
      <w:pPr>
        <w:jc w:val="center"/>
        <w:rPr>
          <w:rFonts w:hint="eastAsia" w:ascii="黑体" w:hAnsi="黑体" w:eastAsia="黑体"/>
          <w:sz w:val="32"/>
          <w:szCs w:val="32"/>
        </w:rPr>
      </w:pPr>
    </w:p>
    <w:p w14:paraId="6FD1930E">
      <w:pPr>
        <w:jc w:val="center"/>
        <w:rPr>
          <w:rFonts w:hint="eastAsia" w:ascii="黑体" w:hAnsi="黑体" w:eastAsia="黑体"/>
          <w:sz w:val="32"/>
          <w:szCs w:val="32"/>
        </w:rPr>
      </w:pPr>
    </w:p>
    <w:p w14:paraId="08C38348">
      <w:pPr>
        <w:jc w:val="center"/>
        <w:rPr>
          <w:rFonts w:hint="eastAsia" w:ascii="黑体" w:hAnsi="黑体" w:eastAsia="黑体"/>
          <w:sz w:val="32"/>
          <w:szCs w:val="32"/>
        </w:rPr>
      </w:pPr>
    </w:p>
    <w:p w14:paraId="3CE900AF">
      <w:pPr>
        <w:jc w:val="center"/>
        <w:rPr>
          <w:rFonts w:hint="eastAsia" w:ascii="黑体" w:hAnsi="黑体" w:eastAsia="黑体"/>
          <w:sz w:val="32"/>
          <w:szCs w:val="32"/>
        </w:rPr>
      </w:pPr>
    </w:p>
    <w:p w14:paraId="7F0B4899">
      <w:pPr>
        <w:jc w:val="center"/>
        <w:rPr>
          <w:rFonts w:hint="eastAsia" w:ascii="黑体" w:hAnsi="黑体" w:eastAsia="黑体"/>
          <w:sz w:val="32"/>
          <w:szCs w:val="32"/>
        </w:rPr>
      </w:pPr>
    </w:p>
    <w:p w14:paraId="092E1B12">
      <w:pPr>
        <w:jc w:val="center"/>
        <w:rPr>
          <w:rFonts w:hint="eastAsia" w:ascii="黑体" w:hAnsi="黑体" w:eastAsia="黑体"/>
          <w:sz w:val="32"/>
          <w:szCs w:val="32"/>
        </w:rPr>
      </w:pPr>
    </w:p>
    <w:p w14:paraId="38B7BF5B">
      <w:pPr>
        <w:jc w:val="center"/>
        <w:rPr>
          <w:rFonts w:hint="eastAsia" w:ascii="黑体" w:hAnsi="黑体" w:eastAsia="黑体"/>
          <w:sz w:val="32"/>
          <w:szCs w:val="32"/>
        </w:rPr>
      </w:pPr>
    </w:p>
    <w:p w14:paraId="3B0FB588">
      <w:pPr>
        <w:jc w:val="center"/>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 xml:space="preserve">年收支总预算 </w:t>
      </w:r>
      <w:r>
        <w:rPr>
          <w:rFonts w:hint="eastAsia" w:ascii="仿宋" w:hAnsi="仿宋" w:eastAsia="仿宋"/>
          <w:sz w:val="32"/>
          <w:szCs w:val="32"/>
          <w:lang w:val="en-US" w:eastAsia="zh-CN"/>
        </w:rPr>
        <w:t>152.44</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98.86</w:t>
      </w:r>
      <w:r>
        <w:rPr>
          <w:rFonts w:hint="eastAsia" w:ascii="仿宋" w:hAnsi="仿宋" w:eastAsia="仿宋"/>
          <w:sz w:val="32"/>
          <w:szCs w:val="32"/>
        </w:rPr>
        <w:t>万元增</w:t>
      </w:r>
      <w:r>
        <w:rPr>
          <w:rFonts w:hint="eastAsia" w:ascii="仿宋" w:hAnsi="仿宋" w:eastAsia="仿宋"/>
          <w:sz w:val="32"/>
          <w:szCs w:val="32"/>
          <w:lang w:eastAsia="zh-CN"/>
        </w:rPr>
        <w:t>加</w:t>
      </w:r>
      <w:r>
        <w:rPr>
          <w:rFonts w:hint="eastAsia" w:ascii="仿宋" w:hAnsi="仿宋" w:eastAsia="仿宋"/>
          <w:sz w:val="32"/>
          <w:szCs w:val="32"/>
          <w:lang w:val="en-US" w:eastAsia="zh-CN"/>
        </w:rPr>
        <w:t>53.58</w:t>
      </w:r>
      <w:r>
        <w:rPr>
          <w:rFonts w:hint="eastAsia" w:ascii="仿宋" w:hAnsi="仿宋" w:eastAsia="仿宋"/>
          <w:sz w:val="32"/>
          <w:szCs w:val="32"/>
        </w:rPr>
        <w:t xml:space="preserve"> 万元，主要原因：</w:t>
      </w:r>
      <w:r>
        <w:rPr>
          <w:rFonts w:hint="eastAsia" w:ascii="仿宋" w:hAnsi="仿宋" w:eastAsia="仿宋"/>
          <w:sz w:val="32"/>
          <w:szCs w:val="32"/>
          <w:lang w:eastAsia="zh-CN"/>
        </w:rPr>
        <w:t>在职人数增加</w:t>
      </w:r>
      <w:r>
        <w:rPr>
          <w:rFonts w:hint="eastAsia" w:ascii="仿宋" w:hAnsi="仿宋" w:eastAsia="仿宋"/>
          <w:sz w:val="32"/>
          <w:szCs w:val="32"/>
        </w:rPr>
        <w:t xml:space="preserve"> 。</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152.44</w:t>
      </w:r>
      <w:r>
        <w:rPr>
          <w:rFonts w:hint="eastAsia" w:ascii="仿宋" w:hAnsi="仿宋" w:eastAsia="仿宋"/>
          <w:sz w:val="32"/>
          <w:szCs w:val="32"/>
        </w:rPr>
        <w:t xml:space="preserve">万元，其中：一般公共预算收入 </w:t>
      </w:r>
      <w:r>
        <w:rPr>
          <w:rFonts w:hint="eastAsia" w:ascii="仿宋" w:hAnsi="仿宋" w:eastAsia="仿宋"/>
          <w:sz w:val="32"/>
          <w:szCs w:val="32"/>
          <w:lang w:val="en-US" w:eastAsia="zh-CN"/>
        </w:rPr>
        <w:t>152.44</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 xml:space="preserve">%；政府性基金收入 </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152.44</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114.34</w:t>
      </w:r>
      <w:r>
        <w:rPr>
          <w:rFonts w:hint="eastAsia" w:ascii="仿宋" w:hAnsi="仿宋" w:eastAsia="仿宋"/>
          <w:sz w:val="32"/>
          <w:szCs w:val="32"/>
        </w:rPr>
        <w:t>万元，占</w:t>
      </w:r>
      <w:r>
        <w:rPr>
          <w:rFonts w:hint="eastAsia" w:ascii="仿宋" w:hAnsi="仿宋" w:eastAsia="仿宋"/>
          <w:sz w:val="32"/>
          <w:szCs w:val="32"/>
          <w:lang w:val="en-US" w:eastAsia="zh-CN"/>
        </w:rPr>
        <w:t>75</w:t>
      </w:r>
      <w:r>
        <w:rPr>
          <w:rFonts w:hint="eastAsia" w:ascii="仿宋" w:hAnsi="仿宋" w:eastAsia="仿宋"/>
          <w:sz w:val="32"/>
          <w:szCs w:val="32"/>
        </w:rPr>
        <w:t xml:space="preserve">%；项目支出 </w:t>
      </w:r>
      <w:r>
        <w:rPr>
          <w:rFonts w:hint="eastAsia" w:ascii="仿宋" w:hAnsi="仿宋" w:eastAsia="仿宋"/>
          <w:sz w:val="32"/>
          <w:szCs w:val="32"/>
          <w:lang w:val="en-US" w:eastAsia="zh-CN"/>
        </w:rPr>
        <w:t>38.10</w:t>
      </w:r>
      <w:r>
        <w:rPr>
          <w:rFonts w:hint="eastAsia" w:ascii="仿宋" w:hAnsi="仿宋" w:eastAsia="仿宋"/>
          <w:sz w:val="32"/>
          <w:szCs w:val="32"/>
        </w:rPr>
        <w:t>万元，占</w:t>
      </w:r>
      <w:r>
        <w:rPr>
          <w:rFonts w:hint="eastAsia" w:ascii="仿宋" w:hAnsi="仿宋" w:eastAsia="仿宋"/>
          <w:sz w:val="32"/>
          <w:szCs w:val="32"/>
          <w:lang w:val="en-US" w:eastAsia="zh-CN"/>
        </w:rPr>
        <w:t>25</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152.44</w:t>
      </w:r>
      <w:r>
        <w:rPr>
          <w:rFonts w:hint="eastAsia" w:ascii="仿宋" w:hAnsi="仿宋" w:eastAsia="仿宋"/>
          <w:sz w:val="32"/>
          <w:szCs w:val="32"/>
        </w:rPr>
        <w:t xml:space="preserve">万元，其中：本年收入 </w:t>
      </w:r>
      <w:r>
        <w:rPr>
          <w:rFonts w:hint="eastAsia" w:ascii="仿宋" w:hAnsi="仿宋" w:eastAsia="仿宋"/>
          <w:sz w:val="32"/>
          <w:szCs w:val="32"/>
          <w:lang w:val="en-US" w:eastAsia="zh-CN"/>
        </w:rPr>
        <w:t>152.44</w:t>
      </w:r>
      <w:r>
        <w:rPr>
          <w:rFonts w:hint="eastAsia" w:ascii="仿宋" w:hAnsi="仿宋" w:eastAsia="仿宋"/>
          <w:sz w:val="32"/>
          <w:szCs w:val="32"/>
        </w:rPr>
        <w:t>万元。本年支出</w:t>
      </w:r>
      <w:r>
        <w:rPr>
          <w:rFonts w:hint="eastAsia" w:ascii="仿宋" w:hAnsi="仿宋" w:eastAsia="仿宋"/>
          <w:sz w:val="32"/>
          <w:szCs w:val="32"/>
          <w:lang w:val="en-US" w:eastAsia="zh-CN"/>
        </w:rPr>
        <w:t>152.44</w:t>
      </w:r>
      <w:r>
        <w:rPr>
          <w:rFonts w:hint="eastAsia" w:ascii="仿宋" w:hAnsi="仿宋" w:eastAsia="仿宋"/>
          <w:sz w:val="32"/>
          <w:szCs w:val="32"/>
        </w:rPr>
        <w:t>万元，支出包括：一般公共服务支出</w:t>
      </w:r>
      <w:r>
        <w:rPr>
          <w:rFonts w:hint="eastAsia" w:ascii="仿宋" w:hAnsi="仿宋" w:eastAsia="仿宋"/>
          <w:sz w:val="32"/>
          <w:szCs w:val="32"/>
          <w:lang w:val="en-US" w:eastAsia="zh-CN"/>
        </w:rPr>
        <w:t>133.98</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10.45</w:t>
      </w:r>
      <w:r>
        <w:rPr>
          <w:rFonts w:hint="eastAsia" w:ascii="仿宋" w:hAnsi="仿宋" w:eastAsia="仿宋"/>
          <w:sz w:val="32"/>
          <w:szCs w:val="32"/>
        </w:rPr>
        <w:t>万元，卫生健康支出</w:t>
      </w:r>
      <w:r>
        <w:rPr>
          <w:rFonts w:hint="eastAsia" w:ascii="仿宋" w:hAnsi="仿宋" w:eastAsia="仿宋"/>
          <w:sz w:val="32"/>
          <w:szCs w:val="32"/>
          <w:lang w:val="en-US" w:eastAsia="zh-CN"/>
        </w:rPr>
        <w:t>0</w:t>
      </w:r>
      <w:r>
        <w:rPr>
          <w:rFonts w:hint="eastAsia" w:ascii="仿宋" w:hAnsi="仿宋" w:eastAsia="仿宋"/>
          <w:sz w:val="32"/>
          <w:szCs w:val="32"/>
        </w:rPr>
        <w:t>万元，住房保障支出</w:t>
      </w:r>
      <w:r>
        <w:rPr>
          <w:rFonts w:hint="eastAsia" w:ascii="仿宋" w:hAnsi="仿宋" w:eastAsia="仿宋"/>
          <w:sz w:val="32"/>
          <w:szCs w:val="32"/>
          <w:lang w:val="en-US" w:eastAsia="zh-CN"/>
        </w:rPr>
        <w:t>8.01</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152.44</w:t>
      </w:r>
      <w:r>
        <w:rPr>
          <w:rFonts w:hint="eastAsia" w:ascii="仿宋" w:hAnsi="仿宋" w:eastAsia="仿宋"/>
          <w:sz w:val="32"/>
          <w:szCs w:val="32"/>
        </w:rPr>
        <w:t>万元，其中：基本支出</w:t>
      </w:r>
      <w:r>
        <w:rPr>
          <w:rFonts w:hint="eastAsia" w:ascii="仿宋" w:hAnsi="仿宋" w:eastAsia="仿宋"/>
          <w:sz w:val="32"/>
          <w:szCs w:val="32"/>
          <w:lang w:val="en-US" w:eastAsia="zh-CN"/>
        </w:rPr>
        <w:t>114.34</w:t>
      </w:r>
      <w:r>
        <w:rPr>
          <w:rFonts w:hint="eastAsia" w:ascii="仿宋" w:hAnsi="仿宋" w:eastAsia="仿宋"/>
          <w:sz w:val="32"/>
          <w:szCs w:val="32"/>
        </w:rPr>
        <w:t>万元，占</w:t>
      </w:r>
      <w:r>
        <w:rPr>
          <w:rFonts w:hint="eastAsia" w:ascii="仿宋" w:hAnsi="仿宋" w:eastAsia="仿宋"/>
          <w:sz w:val="32"/>
          <w:szCs w:val="32"/>
          <w:lang w:val="en-US" w:eastAsia="zh-CN"/>
        </w:rPr>
        <w:t>75</w:t>
      </w:r>
      <w:r>
        <w:rPr>
          <w:rFonts w:hint="eastAsia" w:ascii="仿宋" w:hAnsi="仿宋" w:eastAsia="仿宋"/>
          <w:sz w:val="32"/>
          <w:szCs w:val="32"/>
        </w:rPr>
        <w:t>%；项目支出</w:t>
      </w:r>
      <w:r>
        <w:rPr>
          <w:rFonts w:hint="eastAsia" w:ascii="仿宋" w:hAnsi="仿宋" w:eastAsia="仿宋"/>
          <w:sz w:val="32"/>
          <w:szCs w:val="32"/>
          <w:lang w:val="en-US" w:eastAsia="zh-CN"/>
        </w:rPr>
        <w:t>38.10</w:t>
      </w:r>
      <w:r>
        <w:rPr>
          <w:rFonts w:hint="eastAsia" w:ascii="仿宋" w:hAnsi="仿宋" w:eastAsia="仿宋"/>
          <w:sz w:val="32"/>
          <w:szCs w:val="32"/>
        </w:rPr>
        <w:t>万元，占</w:t>
      </w:r>
      <w:r>
        <w:rPr>
          <w:rFonts w:hint="eastAsia" w:ascii="仿宋" w:hAnsi="仿宋" w:eastAsia="仿宋"/>
          <w:sz w:val="32"/>
          <w:szCs w:val="32"/>
          <w:lang w:val="en-US" w:eastAsia="zh-CN"/>
        </w:rPr>
        <w:t>25</w:t>
      </w:r>
      <w:r>
        <w:rPr>
          <w:rFonts w:hint="eastAsia" w:ascii="仿宋" w:hAnsi="仿宋" w:eastAsia="仿宋"/>
          <w:sz w:val="32"/>
          <w:szCs w:val="32"/>
        </w:rPr>
        <w:t>%。基本支出中，人员经费</w:t>
      </w:r>
      <w:r>
        <w:rPr>
          <w:rFonts w:hint="eastAsia" w:ascii="仿宋" w:hAnsi="仿宋" w:eastAsia="仿宋"/>
          <w:sz w:val="32"/>
          <w:szCs w:val="32"/>
          <w:lang w:val="en-US" w:eastAsia="zh-CN"/>
        </w:rPr>
        <w:t>93.74</w:t>
      </w:r>
      <w:r>
        <w:rPr>
          <w:rFonts w:hint="eastAsia" w:ascii="仿宋" w:hAnsi="仿宋" w:eastAsia="仿宋"/>
          <w:sz w:val="32"/>
          <w:szCs w:val="32"/>
        </w:rPr>
        <w:t>万元，占</w:t>
      </w:r>
      <w:r>
        <w:rPr>
          <w:rFonts w:hint="eastAsia" w:ascii="仿宋" w:hAnsi="仿宋" w:eastAsia="仿宋"/>
          <w:sz w:val="32"/>
          <w:szCs w:val="32"/>
          <w:lang w:val="en-US" w:eastAsia="zh-CN"/>
        </w:rPr>
        <w:t>82</w:t>
      </w:r>
      <w:r>
        <w:rPr>
          <w:rFonts w:hint="eastAsia" w:ascii="仿宋" w:hAnsi="仿宋" w:eastAsia="仿宋"/>
          <w:sz w:val="32"/>
          <w:szCs w:val="32"/>
        </w:rPr>
        <w:t>%；公用经费</w:t>
      </w:r>
      <w:r>
        <w:rPr>
          <w:rFonts w:hint="eastAsia" w:ascii="仿宋" w:hAnsi="仿宋" w:eastAsia="仿宋"/>
          <w:sz w:val="32"/>
          <w:szCs w:val="32"/>
          <w:lang w:val="en-US" w:eastAsia="zh-CN"/>
        </w:rPr>
        <w:t>20.60</w:t>
      </w:r>
      <w:r>
        <w:rPr>
          <w:rFonts w:hint="eastAsia" w:ascii="仿宋" w:hAnsi="仿宋" w:eastAsia="仿宋"/>
          <w:sz w:val="32"/>
          <w:szCs w:val="32"/>
        </w:rPr>
        <w:t>万元，占</w:t>
      </w:r>
      <w:r>
        <w:rPr>
          <w:rFonts w:hint="eastAsia" w:ascii="仿宋" w:hAnsi="仿宋" w:eastAsia="仿宋"/>
          <w:sz w:val="32"/>
          <w:szCs w:val="32"/>
          <w:lang w:val="en-US" w:eastAsia="zh-CN"/>
        </w:rPr>
        <w:t>18</w:t>
      </w:r>
      <w:r>
        <w:rPr>
          <w:rFonts w:hint="eastAsia" w:ascii="仿宋" w:hAnsi="仿宋" w:eastAsia="仿宋"/>
          <w:sz w:val="32"/>
          <w:szCs w:val="32"/>
        </w:rPr>
        <w:t>%。</w:t>
      </w:r>
    </w:p>
    <w:p w14:paraId="7AE3769D">
      <w:pPr>
        <w:ind w:firstLine="640" w:firstLineChars="200"/>
        <w:rPr>
          <w:rFonts w:ascii="仿宋" w:hAnsi="仿宋" w:eastAsia="仿宋"/>
          <w:sz w:val="32"/>
          <w:szCs w:val="32"/>
        </w:rPr>
      </w:pPr>
      <w:r>
        <w:rPr>
          <w:rFonts w:hint="eastAsia" w:ascii="仿宋" w:hAnsi="仿宋" w:eastAsia="仿宋"/>
          <w:sz w:val="32"/>
          <w:szCs w:val="32"/>
        </w:rPr>
        <w:t xml:space="preserve">一般公共服务（类）支出 </w:t>
      </w:r>
      <w:r>
        <w:rPr>
          <w:rFonts w:hint="eastAsia" w:ascii="仿宋" w:hAnsi="仿宋" w:eastAsia="仿宋"/>
          <w:sz w:val="32"/>
          <w:szCs w:val="32"/>
          <w:lang w:val="en-US" w:eastAsia="zh-CN"/>
        </w:rPr>
        <w:t>133.98</w:t>
      </w:r>
      <w:r>
        <w:rPr>
          <w:rFonts w:hint="eastAsia" w:ascii="仿宋" w:hAnsi="仿宋" w:eastAsia="仿宋"/>
          <w:sz w:val="32"/>
          <w:szCs w:val="32"/>
        </w:rPr>
        <w:t>万元，占</w:t>
      </w:r>
      <w:r>
        <w:rPr>
          <w:rFonts w:hint="eastAsia" w:ascii="仿宋" w:hAnsi="仿宋" w:eastAsia="仿宋"/>
          <w:sz w:val="32"/>
          <w:szCs w:val="32"/>
          <w:lang w:val="en-US" w:eastAsia="zh-CN"/>
        </w:rPr>
        <w:t>87.89</w:t>
      </w:r>
      <w:r>
        <w:rPr>
          <w:rFonts w:hint="eastAsia" w:ascii="仿宋" w:hAnsi="仿宋" w:eastAsia="仿宋"/>
          <w:sz w:val="32"/>
          <w:szCs w:val="32"/>
        </w:rPr>
        <w:t>%，主要用于：基本工资、津贴补贴、伙食补助费、绩效工资、基本医疗保险缴费、其他社会保险缴费、其他工资福利支付、</w:t>
      </w:r>
      <w:r>
        <w:rPr>
          <w:rFonts w:hint="eastAsia" w:ascii="仿宋_GB2312" w:eastAsia="仿宋_GB2312"/>
          <w:sz w:val="32"/>
          <w:szCs w:val="32"/>
        </w:rPr>
        <w:t>办公费、差旅费、印刷费、维修费、水费、电费、手续费、电费、取暖费、租赁费、公务接待费、工会经费、其他交通费、劳务费、委托业务费、其他商品服务支出</w:t>
      </w:r>
      <w:r>
        <w:rPr>
          <w:rFonts w:hint="eastAsia" w:ascii="仿宋" w:hAnsi="仿宋" w:eastAsia="仿宋"/>
          <w:sz w:val="32"/>
          <w:szCs w:val="32"/>
        </w:rPr>
        <w:t>。</w:t>
      </w:r>
    </w:p>
    <w:p w14:paraId="59F47C99">
      <w:pPr>
        <w:ind w:firstLine="640" w:firstLineChars="200"/>
        <w:rPr>
          <w:rFonts w:ascii="仿宋" w:hAnsi="仿宋" w:eastAsia="仿宋"/>
          <w:sz w:val="32"/>
          <w:szCs w:val="32"/>
        </w:rPr>
      </w:pPr>
      <w:r>
        <w:rPr>
          <w:rFonts w:hint="eastAsia" w:ascii="仿宋" w:hAnsi="仿宋" w:eastAsia="仿宋"/>
          <w:sz w:val="32"/>
          <w:szCs w:val="32"/>
        </w:rPr>
        <w:t xml:space="preserve">社会保障和就业（类）支出 </w:t>
      </w:r>
      <w:r>
        <w:rPr>
          <w:rFonts w:hint="eastAsia" w:ascii="仿宋" w:hAnsi="仿宋" w:eastAsia="仿宋"/>
          <w:sz w:val="32"/>
          <w:szCs w:val="32"/>
          <w:lang w:val="en-US" w:eastAsia="zh-CN"/>
        </w:rPr>
        <w:t>10.45</w:t>
      </w:r>
      <w:r>
        <w:rPr>
          <w:rFonts w:hint="eastAsia" w:ascii="仿宋" w:hAnsi="仿宋" w:eastAsia="仿宋"/>
          <w:sz w:val="32"/>
          <w:szCs w:val="32"/>
        </w:rPr>
        <w:t>万元，占</w:t>
      </w:r>
      <w:r>
        <w:rPr>
          <w:rFonts w:hint="eastAsia" w:ascii="仿宋" w:hAnsi="仿宋" w:eastAsia="仿宋"/>
          <w:sz w:val="32"/>
          <w:szCs w:val="32"/>
          <w:lang w:val="en-US" w:eastAsia="zh-CN"/>
        </w:rPr>
        <w:t>6.86</w:t>
      </w:r>
      <w:r>
        <w:rPr>
          <w:rFonts w:hint="eastAsia" w:ascii="仿宋" w:hAnsi="仿宋" w:eastAsia="仿宋"/>
          <w:sz w:val="32"/>
          <w:szCs w:val="32"/>
        </w:rPr>
        <w:t>%，主要用于：机关事业单位基本养老保险缴费。</w:t>
      </w:r>
    </w:p>
    <w:p w14:paraId="3F87882C">
      <w:pPr>
        <w:ind w:firstLine="640" w:firstLineChars="200"/>
        <w:rPr>
          <w:rFonts w:ascii="仿宋" w:hAnsi="仿宋" w:eastAsia="仿宋"/>
          <w:sz w:val="32"/>
          <w:szCs w:val="32"/>
        </w:rPr>
      </w:pPr>
      <w:r>
        <w:rPr>
          <w:rFonts w:hint="eastAsia" w:ascii="仿宋" w:hAnsi="仿宋" w:eastAsia="仿宋"/>
          <w:sz w:val="32"/>
          <w:szCs w:val="32"/>
        </w:rPr>
        <w:t xml:space="preserve">卫生健康（类）支出 </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752A0F73">
      <w:pPr>
        <w:ind w:firstLine="640" w:firstLineChars="200"/>
        <w:rPr>
          <w:rFonts w:ascii="仿宋" w:hAnsi="仿宋" w:eastAsia="仿宋"/>
          <w:sz w:val="32"/>
          <w:szCs w:val="32"/>
        </w:rPr>
      </w:pPr>
      <w:r>
        <w:rPr>
          <w:rFonts w:hint="eastAsia" w:ascii="仿宋" w:hAnsi="仿宋" w:eastAsia="仿宋"/>
          <w:sz w:val="32"/>
          <w:szCs w:val="32"/>
        </w:rPr>
        <w:t xml:space="preserve">住房保障（类）支出 </w:t>
      </w:r>
      <w:r>
        <w:rPr>
          <w:rFonts w:hint="eastAsia" w:ascii="仿宋" w:hAnsi="仿宋" w:eastAsia="仿宋"/>
          <w:sz w:val="32"/>
          <w:szCs w:val="32"/>
          <w:lang w:val="en-US" w:eastAsia="zh-CN"/>
        </w:rPr>
        <w:t>8.01</w:t>
      </w:r>
      <w:r>
        <w:rPr>
          <w:rFonts w:hint="eastAsia" w:ascii="仿宋" w:hAnsi="仿宋" w:eastAsia="仿宋"/>
          <w:sz w:val="32"/>
          <w:szCs w:val="32"/>
        </w:rPr>
        <w:t xml:space="preserve"> 万元，占</w:t>
      </w:r>
      <w:r>
        <w:rPr>
          <w:rFonts w:hint="eastAsia" w:ascii="仿宋" w:hAnsi="仿宋" w:eastAsia="仿宋"/>
          <w:sz w:val="32"/>
          <w:szCs w:val="32"/>
          <w:lang w:val="en-US" w:eastAsia="zh-CN"/>
        </w:rPr>
        <w:t>5.25</w:t>
      </w:r>
      <w:r>
        <w:rPr>
          <w:rFonts w:hint="eastAsia" w:ascii="仿宋" w:hAnsi="仿宋" w:eastAsia="仿宋"/>
          <w:sz w:val="32"/>
          <w:szCs w:val="32"/>
        </w:rPr>
        <w:t>%，主要用于：住房公积金。</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年一般公共预算基本支出 </w:t>
      </w:r>
      <w:r>
        <w:rPr>
          <w:rFonts w:hint="eastAsia" w:ascii="仿宋" w:hAnsi="仿宋" w:eastAsia="仿宋"/>
          <w:sz w:val="32"/>
          <w:szCs w:val="32"/>
          <w:lang w:val="en-US" w:eastAsia="zh-CN"/>
        </w:rPr>
        <w:t>114.34</w:t>
      </w:r>
      <w:r>
        <w:rPr>
          <w:rFonts w:hint="eastAsia" w:ascii="仿宋" w:hAnsi="仿宋" w:eastAsia="仿宋"/>
          <w:sz w:val="32"/>
          <w:szCs w:val="32"/>
        </w:rPr>
        <w:t xml:space="preserve"> 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93.74</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离退休费、生活补助、其他对个人和家庭补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20.60</w:t>
      </w:r>
      <w:r>
        <w:rPr>
          <w:rFonts w:hint="eastAsia" w:ascii="仿宋" w:hAnsi="仿宋" w:eastAsia="仿宋"/>
          <w:sz w:val="32"/>
          <w:szCs w:val="32"/>
        </w:rPr>
        <w:t>万元，主要包括：办公费、印刷费、水费、电费、邮电费、取暖费、差旅费、会议费、公务接待费、工会经费、公务用车运行维护费等。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4.40</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w:t>
      </w:r>
      <w:r>
        <w:rPr>
          <w:rFonts w:hint="eastAsia" w:ascii="仿宋" w:hAnsi="仿宋" w:eastAsia="仿宋"/>
          <w:kern w:val="0"/>
          <w:sz w:val="32"/>
          <w:szCs w:val="32"/>
          <w:lang w:eastAsia="zh-CN"/>
        </w:rPr>
        <w:t>增加</w:t>
      </w:r>
      <w:r>
        <w:rPr>
          <w:rFonts w:hint="eastAsia" w:ascii="仿宋" w:hAnsi="仿宋" w:eastAsia="仿宋"/>
          <w:kern w:val="0"/>
          <w:sz w:val="32"/>
          <w:szCs w:val="32"/>
        </w:rPr>
        <w:t xml:space="preserve"> </w:t>
      </w:r>
      <w:r>
        <w:rPr>
          <w:rFonts w:hint="eastAsia" w:ascii="仿宋" w:hAnsi="仿宋" w:eastAsia="仿宋"/>
          <w:kern w:val="0"/>
          <w:sz w:val="32"/>
          <w:szCs w:val="32"/>
          <w:lang w:val="en-US" w:eastAsia="zh-CN"/>
        </w:rPr>
        <w:t>4.00</w:t>
      </w:r>
      <w:r>
        <w:rPr>
          <w:rFonts w:hint="eastAsia" w:ascii="仿宋" w:hAnsi="仿宋" w:eastAsia="仿宋"/>
          <w:kern w:val="0"/>
          <w:sz w:val="32"/>
          <w:szCs w:val="32"/>
        </w:rPr>
        <w:t>万元。其中：</w:t>
      </w:r>
    </w:p>
    <w:p w14:paraId="1319EA80">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371FCB05">
      <w:pPr>
        <w:pStyle w:val="9"/>
        <w:ind w:firstLine="627" w:firstLineChars="196"/>
        <w:rPr>
          <w:rFonts w:hint="eastAsia" w:ascii="仿宋" w:hAnsi="仿宋" w:eastAsia="仿宋"/>
          <w:kern w:val="0"/>
          <w:sz w:val="32"/>
          <w:szCs w:val="32"/>
        </w:rPr>
      </w:pPr>
      <w:r>
        <w:rPr>
          <w:rFonts w:hint="eastAsia" w:ascii="仿宋" w:hAnsi="仿宋" w:eastAsia="仿宋"/>
          <w:kern w:val="0"/>
          <w:sz w:val="32"/>
          <w:szCs w:val="32"/>
        </w:rPr>
        <w:t xml:space="preserve">2.公务接待费 </w:t>
      </w:r>
      <w:r>
        <w:rPr>
          <w:rFonts w:hint="eastAsia" w:ascii="仿宋" w:hAnsi="仿宋" w:eastAsia="仿宋"/>
          <w:kern w:val="0"/>
          <w:sz w:val="32"/>
          <w:szCs w:val="32"/>
          <w:lang w:val="en-US" w:eastAsia="zh-CN"/>
        </w:rPr>
        <w:t>0.4</w:t>
      </w:r>
      <w:r>
        <w:rPr>
          <w:rFonts w:hint="eastAsia" w:ascii="仿宋" w:hAnsi="仿宋" w:eastAsia="仿宋"/>
          <w:kern w:val="0"/>
          <w:sz w:val="32"/>
          <w:szCs w:val="32"/>
        </w:rPr>
        <w:t>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7288DF6E">
      <w:pPr>
        <w:pStyle w:val="9"/>
        <w:ind w:firstLine="627" w:firstLineChars="196"/>
        <w:rPr>
          <w:rFonts w:ascii="仿宋" w:hAnsi="仿宋" w:eastAsia="仿宋"/>
          <w:kern w:val="0"/>
          <w:sz w:val="32"/>
          <w:szCs w:val="32"/>
        </w:rPr>
      </w:pPr>
      <w:r>
        <w:rPr>
          <w:rFonts w:hint="eastAsia" w:ascii="仿宋" w:hAnsi="仿宋" w:eastAsia="仿宋"/>
          <w:kern w:val="0"/>
          <w:sz w:val="32"/>
          <w:szCs w:val="32"/>
        </w:rPr>
        <w:t xml:space="preserve">3.公务用车购置及运行费 </w:t>
      </w:r>
      <w:r>
        <w:rPr>
          <w:rFonts w:hint="eastAsia" w:ascii="仿宋" w:hAnsi="仿宋" w:eastAsia="仿宋"/>
          <w:kern w:val="0"/>
          <w:sz w:val="32"/>
          <w:szCs w:val="32"/>
          <w:lang w:val="en-US" w:eastAsia="zh-CN"/>
        </w:rPr>
        <w:t>4.00</w:t>
      </w:r>
      <w:r>
        <w:rPr>
          <w:rFonts w:hint="eastAsia" w:ascii="仿宋" w:hAnsi="仿宋" w:eastAsia="仿宋"/>
          <w:kern w:val="0"/>
          <w:sz w:val="32"/>
          <w:szCs w:val="32"/>
        </w:rPr>
        <w:t xml:space="preserve">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w:t>
      </w:r>
      <w:r>
        <w:rPr>
          <w:rFonts w:hint="eastAsia" w:ascii="仿宋" w:hAnsi="仿宋" w:eastAsia="仿宋"/>
          <w:kern w:val="0"/>
          <w:sz w:val="32"/>
          <w:szCs w:val="32"/>
          <w:lang w:eastAsia="zh-CN"/>
        </w:rPr>
        <w:t>增加</w:t>
      </w:r>
      <w:r>
        <w:rPr>
          <w:rFonts w:hint="eastAsia" w:ascii="仿宋" w:hAnsi="仿宋" w:eastAsia="仿宋"/>
          <w:kern w:val="0"/>
          <w:sz w:val="32"/>
          <w:szCs w:val="32"/>
          <w:lang w:val="en-US" w:eastAsia="zh-CN"/>
        </w:rPr>
        <w:t>4.00</w:t>
      </w:r>
      <w:r>
        <w:rPr>
          <w:rFonts w:hint="eastAsia" w:ascii="仿宋" w:hAnsi="仿宋" w:eastAsia="仿宋"/>
          <w:kern w:val="0"/>
          <w:sz w:val="32"/>
          <w:szCs w:val="32"/>
        </w:rPr>
        <w:t xml:space="preserve">万元。其中，公务用车运行维护费 </w:t>
      </w:r>
      <w:r>
        <w:rPr>
          <w:rFonts w:hint="eastAsia" w:ascii="仿宋" w:hAnsi="仿宋" w:eastAsia="仿宋"/>
          <w:kern w:val="0"/>
          <w:sz w:val="32"/>
          <w:szCs w:val="32"/>
          <w:lang w:val="en-US" w:eastAsia="zh-CN"/>
        </w:rPr>
        <w:t>4.00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年</w:t>
      </w:r>
      <w:r>
        <w:rPr>
          <w:rFonts w:hint="eastAsia" w:ascii="仿宋" w:hAnsi="仿宋" w:eastAsia="仿宋"/>
          <w:kern w:val="0"/>
          <w:sz w:val="32"/>
          <w:szCs w:val="32"/>
          <w:lang w:eastAsia="zh-CN"/>
        </w:rPr>
        <w:t>增加</w:t>
      </w:r>
      <w:r>
        <w:rPr>
          <w:rFonts w:hint="eastAsia" w:ascii="仿宋" w:hAnsi="仿宋" w:eastAsia="仿宋"/>
          <w:kern w:val="0"/>
          <w:sz w:val="32"/>
          <w:szCs w:val="32"/>
          <w:lang w:val="en-US" w:eastAsia="zh-CN"/>
        </w:rPr>
        <w:t>4.00</w:t>
      </w:r>
      <w:r>
        <w:rPr>
          <w:rFonts w:hint="eastAsia" w:ascii="仿宋" w:hAnsi="仿宋" w:eastAsia="仿宋"/>
          <w:kern w:val="0"/>
          <w:sz w:val="32"/>
          <w:szCs w:val="32"/>
        </w:rPr>
        <w:t>万元，主要原因是</w:t>
      </w:r>
      <w:r>
        <w:rPr>
          <w:rFonts w:hint="eastAsia" w:ascii="仿宋" w:hAnsi="仿宋" w:eastAsia="仿宋"/>
          <w:kern w:val="0"/>
          <w:sz w:val="32"/>
          <w:szCs w:val="32"/>
          <w:lang w:eastAsia="zh-CN"/>
        </w:rPr>
        <w:t>其他交通费转到公务用车运行费</w:t>
      </w:r>
      <w:r>
        <w:rPr>
          <w:rFonts w:hint="eastAsia" w:ascii="仿宋" w:hAnsi="仿宋" w:eastAsia="仿宋"/>
          <w:kern w:val="0"/>
          <w:sz w:val="32"/>
          <w:szCs w:val="32"/>
        </w:rPr>
        <w:t>。</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eastAsia="zh-CN"/>
        </w:rPr>
        <w:t>。</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52C42E0E">
      <w:pPr>
        <w:ind w:firstLine="640" w:firstLineChars="200"/>
        <w:jc w:val="left"/>
        <w:rPr>
          <w:rFonts w:ascii="楷体" w:hAnsi="楷体" w:eastAsia="楷体" w:cs="楷体"/>
          <w:sz w:val="32"/>
          <w:szCs w:val="32"/>
        </w:rPr>
      </w:pPr>
      <w:r>
        <w:rPr>
          <w:rFonts w:hint="eastAsia" w:ascii="楷体" w:hAnsi="楷体" w:eastAsia="楷体" w:cs="楷体"/>
          <w:sz w:val="32"/>
          <w:szCs w:val="32"/>
        </w:rPr>
        <w:t>（一）事业运行经费</w:t>
      </w:r>
    </w:p>
    <w:p w14:paraId="745128F4">
      <w:pPr>
        <w:ind w:firstLine="640" w:firstLineChars="200"/>
        <w:jc w:val="left"/>
        <w:rPr>
          <w:rFonts w:hint="eastAsia"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年部门本级1家</w:t>
      </w:r>
      <w:r>
        <w:rPr>
          <w:rFonts w:hint="eastAsia" w:ascii="仿宋" w:hAnsi="仿宋" w:eastAsia="仿宋"/>
          <w:sz w:val="32"/>
          <w:szCs w:val="32"/>
          <w:lang w:eastAsia="zh-CN"/>
        </w:rPr>
        <w:t>事业</w:t>
      </w:r>
      <w:r>
        <w:rPr>
          <w:rFonts w:hint="eastAsia" w:ascii="仿宋" w:hAnsi="仿宋" w:eastAsia="仿宋"/>
          <w:sz w:val="32"/>
          <w:szCs w:val="32"/>
        </w:rPr>
        <w:t>单位</w:t>
      </w:r>
      <w:r>
        <w:rPr>
          <w:rFonts w:hint="eastAsia" w:ascii="仿宋" w:hAnsi="仿宋" w:eastAsia="仿宋"/>
          <w:sz w:val="32"/>
          <w:szCs w:val="32"/>
          <w:lang w:eastAsia="zh-CN"/>
        </w:rPr>
        <w:t>的事业</w:t>
      </w:r>
      <w:r>
        <w:rPr>
          <w:rFonts w:hint="eastAsia" w:ascii="仿宋" w:hAnsi="仿宋" w:eastAsia="仿宋"/>
          <w:sz w:val="32"/>
          <w:szCs w:val="32"/>
        </w:rPr>
        <w:t>运行经费财政拨款预算</w:t>
      </w:r>
      <w:r>
        <w:rPr>
          <w:rFonts w:hint="eastAsia" w:ascii="仿宋" w:hAnsi="仿宋" w:eastAsia="仿宋"/>
          <w:sz w:val="32"/>
          <w:szCs w:val="32"/>
          <w:lang w:val="en-US" w:eastAsia="zh-CN"/>
        </w:rPr>
        <w:t>152.44</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w:t>
      </w:r>
      <w:r>
        <w:rPr>
          <w:rFonts w:hint="eastAsia" w:ascii="仿宋" w:hAnsi="仿宋" w:eastAsia="仿宋"/>
          <w:sz w:val="32"/>
          <w:szCs w:val="32"/>
          <w:lang w:val="en-US" w:eastAsia="zh-CN"/>
        </w:rPr>
        <w:t>53.58</w:t>
      </w:r>
      <w:r>
        <w:rPr>
          <w:rFonts w:hint="eastAsia" w:ascii="仿宋" w:hAnsi="仿宋" w:eastAsia="仿宋"/>
          <w:sz w:val="32"/>
          <w:szCs w:val="32"/>
        </w:rPr>
        <w:t xml:space="preserve"> 万元，主要原因：</w:t>
      </w:r>
      <w:r>
        <w:rPr>
          <w:rFonts w:hint="eastAsia" w:ascii="仿宋" w:hAnsi="仿宋" w:eastAsia="仿宋"/>
          <w:sz w:val="32"/>
          <w:szCs w:val="32"/>
          <w:lang w:eastAsia="zh-CN"/>
        </w:rPr>
        <w:t>在职人数增加。</w:t>
      </w:r>
      <w:r>
        <w:rPr>
          <w:rFonts w:hint="eastAsia" w:ascii="仿宋" w:hAnsi="仿宋" w:eastAsia="仿宋"/>
          <w:sz w:val="32"/>
          <w:szCs w:val="32"/>
        </w:rPr>
        <w:t xml:space="preserve"> </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w:t>
      </w:r>
      <w:r>
        <w:rPr>
          <w:rFonts w:hint="eastAsia" w:ascii="仿宋" w:hAnsi="仿宋" w:eastAsia="仿宋"/>
          <w:sz w:val="32"/>
          <w:szCs w:val="32"/>
        </w:rPr>
        <w:t>万元，其中：政府采购办公设备和其他设备预算</w:t>
      </w:r>
      <w:r>
        <w:rPr>
          <w:rFonts w:hint="eastAsia" w:ascii="仿宋" w:hAnsi="仿宋" w:eastAsia="仿宋"/>
          <w:sz w:val="32"/>
          <w:szCs w:val="32"/>
          <w:lang w:val="en-US" w:eastAsia="zh-CN"/>
        </w:rPr>
        <w:t>0</w:t>
      </w:r>
      <w:r>
        <w:rPr>
          <w:rFonts w:hint="eastAsia" w:ascii="仿宋" w:hAnsi="仿宋" w:eastAsia="仿宋"/>
          <w:sz w:val="32"/>
          <w:szCs w:val="32"/>
        </w:rPr>
        <w:t xml:space="preserve">万元，政府采购工程预算 </w:t>
      </w:r>
      <w:r>
        <w:rPr>
          <w:rFonts w:hint="eastAsia" w:ascii="仿宋" w:hAnsi="仿宋" w:eastAsia="仿宋"/>
          <w:sz w:val="32"/>
          <w:szCs w:val="32"/>
          <w:lang w:val="en-US" w:eastAsia="zh-CN"/>
        </w:rPr>
        <w:t>0</w:t>
      </w:r>
      <w:r>
        <w:rPr>
          <w:rFonts w:hint="eastAsia" w:ascii="仿宋" w:hAnsi="仿宋" w:eastAsia="仿宋"/>
          <w:sz w:val="32"/>
          <w:szCs w:val="32"/>
        </w:rPr>
        <w:t xml:space="preserve"> 万元，政府采购服务预算 </w:t>
      </w:r>
      <w:r>
        <w:rPr>
          <w:rFonts w:hint="eastAsia" w:ascii="仿宋" w:hAnsi="仿宋" w:eastAsia="仿宋"/>
          <w:sz w:val="32"/>
          <w:szCs w:val="32"/>
          <w:lang w:val="en-US" w:eastAsia="zh-CN"/>
        </w:rPr>
        <w:t>0</w:t>
      </w:r>
      <w:r>
        <w:rPr>
          <w:rFonts w:hint="eastAsia" w:ascii="仿宋" w:hAnsi="仿宋" w:eastAsia="仿宋"/>
          <w:sz w:val="32"/>
          <w:szCs w:val="32"/>
        </w:rPr>
        <w:t>万元。</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1</w:t>
      </w:r>
      <w:r>
        <w:rPr>
          <w:rFonts w:hint="eastAsia" w:ascii="仿宋" w:hAnsi="仿宋" w:eastAsia="仿宋"/>
          <w:sz w:val="32"/>
          <w:szCs w:val="32"/>
        </w:rPr>
        <w:t xml:space="preserve">辆，其中，领导干部用车 </w:t>
      </w:r>
      <w:r>
        <w:rPr>
          <w:rFonts w:hint="eastAsia" w:ascii="仿宋" w:hAnsi="仿宋" w:eastAsia="仿宋"/>
          <w:sz w:val="32"/>
          <w:szCs w:val="32"/>
          <w:lang w:val="en-US" w:eastAsia="zh-CN"/>
        </w:rPr>
        <w:t>0</w:t>
      </w:r>
      <w:r>
        <w:rPr>
          <w:rFonts w:hint="eastAsia" w:ascii="仿宋" w:hAnsi="仿宋" w:eastAsia="仿宋"/>
          <w:sz w:val="32"/>
          <w:szCs w:val="32"/>
        </w:rPr>
        <w:t xml:space="preserve"> 辆、一般公务用车 </w:t>
      </w:r>
      <w:r>
        <w:rPr>
          <w:rFonts w:hint="eastAsia" w:ascii="仿宋" w:hAnsi="仿宋" w:eastAsia="仿宋"/>
          <w:sz w:val="32"/>
          <w:szCs w:val="32"/>
          <w:lang w:val="en-US" w:eastAsia="zh-CN"/>
        </w:rPr>
        <w:t>0</w:t>
      </w:r>
      <w:r>
        <w:rPr>
          <w:rFonts w:hint="eastAsia" w:ascii="仿宋" w:hAnsi="仿宋" w:eastAsia="仿宋"/>
          <w:sz w:val="32"/>
          <w:szCs w:val="32"/>
        </w:rPr>
        <w:t xml:space="preserve">辆,一般执法执勤用车 </w:t>
      </w:r>
      <w:r>
        <w:rPr>
          <w:rFonts w:hint="eastAsia" w:ascii="仿宋" w:hAnsi="仿宋" w:eastAsia="仿宋"/>
          <w:sz w:val="32"/>
          <w:szCs w:val="32"/>
          <w:lang w:val="en-US" w:eastAsia="zh-CN"/>
        </w:rPr>
        <w:t>0</w:t>
      </w:r>
      <w:r>
        <w:rPr>
          <w:rFonts w:hint="eastAsia" w:ascii="仿宋" w:hAnsi="仿宋" w:eastAsia="仿宋"/>
          <w:sz w:val="32"/>
          <w:szCs w:val="32"/>
        </w:rPr>
        <w:t xml:space="preserve"> 辆、特种专业技术用车 </w:t>
      </w:r>
      <w:r>
        <w:rPr>
          <w:rFonts w:hint="eastAsia" w:ascii="仿宋" w:hAnsi="仿宋" w:eastAsia="仿宋"/>
          <w:sz w:val="32"/>
          <w:szCs w:val="32"/>
          <w:lang w:val="en-US" w:eastAsia="zh-CN"/>
        </w:rPr>
        <w:t>0</w:t>
      </w:r>
      <w:r>
        <w:rPr>
          <w:rFonts w:hint="eastAsia" w:ascii="仿宋" w:hAnsi="仿宋" w:eastAsia="仿宋"/>
          <w:sz w:val="32"/>
          <w:szCs w:val="32"/>
        </w:rPr>
        <w:t xml:space="preserve">辆、其他用车 </w:t>
      </w:r>
      <w:r>
        <w:rPr>
          <w:rFonts w:hint="eastAsia" w:ascii="仿宋" w:hAnsi="仿宋" w:eastAsia="仿宋"/>
          <w:sz w:val="32"/>
          <w:szCs w:val="32"/>
          <w:lang w:val="en-US" w:eastAsia="zh-CN"/>
        </w:rPr>
        <w:t>1</w:t>
      </w:r>
      <w:r>
        <w:rPr>
          <w:rFonts w:hint="eastAsia" w:ascii="仿宋" w:hAnsi="仿宋" w:eastAsia="仿宋"/>
          <w:sz w:val="32"/>
          <w:szCs w:val="32"/>
        </w:rPr>
        <w:t xml:space="preserve"> 辆，价值200万元以上大型设备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 xml:space="preserve"> 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年部门预算安排购置车辆及价值200万元以上大型设备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万元。</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rPr>
        <w:t xml:space="preserve"> </w:t>
      </w:r>
      <w:r>
        <w:rPr>
          <w:rFonts w:hint="eastAsia" w:ascii="仿宋" w:hAnsi="仿宋" w:eastAsia="仿宋"/>
          <w:sz w:val="32"/>
          <w:szCs w:val="32"/>
          <w:lang w:val="en-US" w:eastAsia="zh-CN"/>
        </w:rPr>
        <w:t>1</w:t>
      </w:r>
      <w:r>
        <w:rPr>
          <w:rFonts w:hint="eastAsia" w:ascii="仿宋" w:hAnsi="仿宋" w:eastAsia="仿宋"/>
          <w:sz w:val="32"/>
          <w:szCs w:val="32"/>
        </w:rPr>
        <w:t xml:space="preserve"> 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 xml:space="preserve">，涉及金额 </w:t>
      </w:r>
      <w:r>
        <w:rPr>
          <w:rFonts w:hint="eastAsia" w:ascii="仿宋" w:hAnsi="仿宋" w:eastAsia="仿宋"/>
          <w:sz w:val="32"/>
          <w:szCs w:val="32"/>
          <w:lang w:val="en-US" w:eastAsia="zh-CN"/>
        </w:rPr>
        <w:t>38.10</w:t>
      </w:r>
      <w:r>
        <w:rPr>
          <w:rFonts w:hint="eastAsia" w:ascii="仿宋" w:hAnsi="仿宋" w:eastAsia="仿宋"/>
          <w:sz w:val="32"/>
          <w:szCs w:val="32"/>
        </w:rPr>
        <w:t>万元。</w:t>
      </w:r>
      <w:bookmarkStart w:id="0" w:name="_GoBack"/>
      <w:bookmarkEnd w:id="0"/>
    </w:p>
    <w:p w14:paraId="3C527A83">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r>
        <w:rPr>
          <w:rFonts w:hint="eastAsia" w:ascii="仿宋" w:hAnsi="仿宋" w:eastAsia="仿宋"/>
          <w:b/>
          <w:sz w:val="32"/>
          <w:szCs w:val="32"/>
        </w:rPr>
        <w:t>注意：请勿删减文字部分内容，表格中如果是空表也需要保留。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CC6235"/>
    <w:rsid w:val="11DF6BD5"/>
    <w:rsid w:val="12C62CA4"/>
    <w:rsid w:val="15DA5399"/>
    <w:rsid w:val="187E3884"/>
    <w:rsid w:val="18F97B94"/>
    <w:rsid w:val="191A0446"/>
    <w:rsid w:val="1AB339DA"/>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C9F716B"/>
    <w:rsid w:val="2D742D12"/>
    <w:rsid w:val="2E3342C6"/>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54E2A"/>
    <w:rsid w:val="3D897F97"/>
    <w:rsid w:val="3DA7578C"/>
    <w:rsid w:val="3F597259"/>
    <w:rsid w:val="3F6B774D"/>
    <w:rsid w:val="40095632"/>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10</Pages>
  <Words>650</Words>
  <Characters>661</Characters>
  <Lines>22</Lines>
  <Paragraphs>6</Paragraphs>
  <TotalTime>0</TotalTime>
  <ScaleCrop>false</ScaleCrop>
  <LinksUpToDate>false</LinksUpToDate>
  <CharactersWithSpaces>723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晚馨</cp:lastModifiedBy>
  <dcterms:modified xsi:type="dcterms:W3CDTF">2025-04-03T06:31:26Z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E78B6B9574F34BA2BFFA9DF000BA7DA6_13</vt:lpwstr>
  </property>
  <property fmtid="{D5CDD505-2E9C-101B-9397-08002B2CF9AE}" pid="4" name="KSOTemplateDocerSaveRecord">
    <vt:lpwstr>eyJoZGlkIjoiMWEzNDUwMmM2MDkwMWRkZDdkMzc1ZWU5ZWVhM2E5MGUiLCJ1c2VySWQiOiI3NTEyNjg2MTIifQ==</vt:lpwstr>
  </property>
</Properties>
</file>