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6F7B61">
      <w:pPr>
        <w:jc w:val="center"/>
        <w:rPr>
          <w:rFonts w:ascii="黑体" w:hAnsi="黑体" w:eastAsia="黑体"/>
          <w:sz w:val="44"/>
          <w:szCs w:val="44"/>
          <w:highlight w:val="none"/>
        </w:rPr>
      </w:pPr>
    </w:p>
    <w:p w14:paraId="1A4AFE4B">
      <w:pPr>
        <w:jc w:val="center"/>
        <w:rPr>
          <w:rFonts w:ascii="黑体" w:hAnsi="黑体" w:eastAsia="黑体"/>
          <w:sz w:val="44"/>
          <w:szCs w:val="44"/>
          <w:highlight w:val="none"/>
        </w:rPr>
      </w:pPr>
    </w:p>
    <w:p w14:paraId="1D795B12">
      <w:pPr>
        <w:jc w:val="center"/>
        <w:rPr>
          <w:rFonts w:ascii="黑体" w:hAnsi="黑体" w:eastAsia="黑体"/>
          <w:sz w:val="44"/>
          <w:szCs w:val="44"/>
          <w:highlight w:val="none"/>
        </w:rPr>
      </w:pPr>
    </w:p>
    <w:p w14:paraId="1D4CB651">
      <w:pPr>
        <w:jc w:val="center"/>
        <w:rPr>
          <w:rFonts w:ascii="黑体" w:hAnsi="黑体" w:eastAsia="黑体"/>
          <w:sz w:val="44"/>
          <w:szCs w:val="44"/>
          <w:highlight w:val="none"/>
        </w:rPr>
      </w:pPr>
    </w:p>
    <w:p w14:paraId="0A645EC2">
      <w:pPr>
        <w:jc w:val="center"/>
        <w:rPr>
          <w:rFonts w:ascii="黑体" w:hAnsi="黑体" w:eastAsia="黑体"/>
          <w:sz w:val="44"/>
          <w:szCs w:val="44"/>
          <w:highlight w:val="none"/>
        </w:rPr>
      </w:pPr>
    </w:p>
    <w:p w14:paraId="47E24379">
      <w:pPr>
        <w:jc w:val="center"/>
        <w:rPr>
          <w:rFonts w:ascii="黑体" w:hAnsi="黑体" w:eastAsia="黑体"/>
          <w:sz w:val="52"/>
          <w:szCs w:val="52"/>
          <w:highlight w:val="none"/>
        </w:rPr>
      </w:pPr>
      <w:r>
        <w:rPr>
          <w:rFonts w:hint="eastAsia" w:ascii="黑体" w:hAnsi="黑体" w:eastAsia="黑体"/>
          <w:sz w:val="52"/>
          <w:szCs w:val="52"/>
          <w:highlight w:val="none"/>
        </w:rPr>
        <w:t>永吉县农业农村局</w:t>
      </w:r>
      <w:r>
        <w:rPr>
          <w:rFonts w:hint="eastAsia" w:ascii="黑体" w:hAnsi="黑体" w:eastAsia="黑体"/>
          <w:sz w:val="52"/>
          <w:szCs w:val="52"/>
          <w:highlight w:val="none"/>
        </w:rPr>
        <w:t>202</w:t>
      </w:r>
      <w:r>
        <w:rPr>
          <w:rFonts w:hint="eastAsia" w:ascii="黑体" w:hAnsi="黑体" w:eastAsia="黑体"/>
          <w:sz w:val="52"/>
          <w:szCs w:val="52"/>
          <w:highlight w:val="none"/>
          <w:lang w:val="en-US" w:eastAsia="zh-CN"/>
        </w:rPr>
        <w:t>5</w:t>
      </w:r>
      <w:r>
        <w:rPr>
          <w:rFonts w:hint="eastAsia" w:ascii="黑体" w:hAnsi="黑体" w:eastAsia="黑体"/>
          <w:sz w:val="52"/>
          <w:szCs w:val="52"/>
          <w:highlight w:val="none"/>
        </w:rPr>
        <w:t>年部门预算</w:t>
      </w:r>
    </w:p>
    <w:p w14:paraId="20938976">
      <w:pPr>
        <w:jc w:val="center"/>
        <w:rPr>
          <w:rFonts w:ascii="黑体" w:hAnsi="黑体" w:eastAsia="黑体"/>
          <w:sz w:val="44"/>
          <w:szCs w:val="44"/>
          <w:highlight w:val="none"/>
        </w:rPr>
      </w:pPr>
    </w:p>
    <w:p w14:paraId="453A9669">
      <w:pPr>
        <w:jc w:val="center"/>
        <w:rPr>
          <w:rFonts w:ascii="黑体" w:hAnsi="黑体" w:eastAsia="黑体"/>
          <w:sz w:val="44"/>
          <w:szCs w:val="44"/>
          <w:highlight w:val="none"/>
        </w:rPr>
      </w:pPr>
    </w:p>
    <w:p w14:paraId="6665A63F">
      <w:pPr>
        <w:jc w:val="center"/>
        <w:rPr>
          <w:rFonts w:ascii="黑体" w:hAnsi="黑体" w:eastAsia="黑体"/>
          <w:sz w:val="44"/>
          <w:szCs w:val="44"/>
          <w:highlight w:val="none"/>
        </w:rPr>
      </w:pPr>
    </w:p>
    <w:p w14:paraId="494F6814">
      <w:pPr>
        <w:jc w:val="center"/>
        <w:rPr>
          <w:rFonts w:ascii="黑体" w:hAnsi="黑体" w:eastAsia="黑体"/>
          <w:sz w:val="44"/>
          <w:szCs w:val="44"/>
          <w:highlight w:val="none"/>
        </w:rPr>
      </w:pPr>
    </w:p>
    <w:p w14:paraId="1CE72195">
      <w:pPr>
        <w:jc w:val="center"/>
        <w:rPr>
          <w:rFonts w:ascii="黑体" w:hAnsi="黑体" w:eastAsia="黑体"/>
          <w:sz w:val="44"/>
          <w:szCs w:val="44"/>
          <w:highlight w:val="none"/>
        </w:rPr>
      </w:pPr>
    </w:p>
    <w:p w14:paraId="469B183F">
      <w:pPr>
        <w:jc w:val="center"/>
        <w:rPr>
          <w:rFonts w:ascii="黑体" w:hAnsi="黑体" w:eastAsia="黑体"/>
          <w:sz w:val="44"/>
          <w:szCs w:val="44"/>
          <w:highlight w:val="none"/>
        </w:rPr>
      </w:pPr>
    </w:p>
    <w:p w14:paraId="23A49F72">
      <w:pPr>
        <w:jc w:val="center"/>
        <w:rPr>
          <w:rFonts w:ascii="黑体" w:hAnsi="黑体" w:eastAsia="黑体"/>
          <w:sz w:val="44"/>
          <w:szCs w:val="44"/>
          <w:highlight w:val="none"/>
        </w:rPr>
      </w:pPr>
    </w:p>
    <w:p w14:paraId="7FBDE064">
      <w:pPr>
        <w:jc w:val="center"/>
        <w:rPr>
          <w:rFonts w:ascii="黑体" w:hAnsi="黑体" w:eastAsia="黑体"/>
          <w:sz w:val="44"/>
          <w:szCs w:val="44"/>
          <w:highlight w:val="none"/>
        </w:rPr>
      </w:pPr>
    </w:p>
    <w:p w14:paraId="44F4673F">
      <w:pPr>
        <w:jc w:val="center"/>
        <w:rPr>
          <w:rFonts w:ascii="黑体" w:hAnsi="黑体" w:eastAsia="黑体"/>
          <w:sz w:val="44"/>
          <w:szCs w:val="44"/>
          <w:highlight w:val="none"/>
        </w:rPr>
      </w:pPr>
    </w:p>
    <w:p w14:paraId="5340FC6A">
      <w:pPr>
        <w:jc w:val="center"/>
        <w:rPr>
          <w:rFonts w:ascii="黑体" w:hAnsi="黑体" w:eastAsia="黑体"/>
          <w:sz w:val="44"/>
          <w:szCs w:val="44"/>
          <w:highlight w:val="none"/>
        </w:rPr>
      </w:pPr>
    </w:p>
    <w:p w14:paraId="0611AC81">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w:t>
      </w:r>
      <w:r>
        <w:rPr>
          <w:rFonts w:hint="eastAsia" w:ascii="黑体" w:hAnsi="黑体" w:eastAsia="黑体"/>
          <w:sz w:val="44"/>
          <w:szCs w:val="44"/>
          <w:highlight w:val="none"/>
          <w:lang w:eastAsia="zh-CN"/>
        </w:rPr>
        <w:t>四</w:t>
      </w:r>
      <w:r>
        <w:rPr>
          <w:rFonts w:hint="eastAsia" w:ascii="黑体" w:hAnsi="黑体" w:eastAsia="黑体"/>
          <w:sz w:val="44"/>
          <w:szCs w:val="44"/>
          <w:highlight w:val="none"/>
        </w:rPr>
        <w:t>月</w:t>
      </w:r>
      <w:r>
        <w:rPr>
          <w:rFonts w:hint="eastAsia" w:ascii="黑体" w:hAnsi="黑体" w:eastAsia="黑体"/>
          <w:sz w:val="44"/>
          <w:szCs w:val="44"/>
          <w:highlight w:val="none"/>
          <w:lang w:eastAsia="zh-CN"/>
        </w:rPr>
        <w:t>一</w:t>
      </w:r>
      <w:r>
        <w:rPr>
          <w:rFonts w:hint="eastAsia" w:ascii="黑体" w:hAnsi="黑体" w:eastAsia="黑体"/>
          <w:sz w:val="44"/>
          <w:szCs w:val="44"/>
          <w:highlight w:val="none"/>
        </w:rPr>
        <w:t>日</w:t>
      </w:r>
    </w:p>
    <w:p w14:paraId="6A1F47AF">
      <w:pPr>
        <w:jc w:val="center"/>
        <w:rPr>
          <w:rFonts w:ascii="黑体" w:hAnsi="黑体" w:eastAsia="黑体"/>
          <w:sz w:val="44"/>
          <w:szCs w:val="44"/>
          <w:highlight w:val="none"/>
        </w:rPr>
      </w:pPr>
    </w:p>
    <w:p w14:paraId="68D83646">
      <w:pPr>
        <w:jc w:val="center"/>
        <w:rPr>
          <w:rFonts w:ascii="黑体" w:hAnsi="黑体" w:eastAsia="黑体"/>
          <w:sz w:val="44"/>
          <w:szCs w:val="44"/>
          <w:highlight w:val="none"/>
        </w:rPr>
      </w:pPr>
    </w:p>
    <w:p w14:paraId="7E460E4E">
      <w:pPr>
        <w:jc w:val="center"/>
        <w:rPr>
          <w:rFonts w:ascii="黑体" w:hAnsi="黑体" w:eastAsia="黑体"/>
          <w:sz w:val="44"/>
          <w:szCs w:val="44"/>
          <w:highlight w:val="none"/>
        </w:rPr>
      </w:pPr>
    </w:p>
    <w:p w14:paraId="1BECF8AA">
      <w:pPr>
        <w:jc w:val="center"/>
        <w:rPr>
          <w:rFonts w:ascii="黑体" w:hAnsi="黑体" w:eastAsia="黑体"/>
          <w:sz w:val="44"/>
          <w:szCs w:val="44"/>
          <w:highlight w:val="none"/>
        </w:rPr>
      </w:pPr>
    </w:p>
    <w:p w14:paraId="42B73C80">
      <w:pPr>
        <w:jc w:val="center"/>
        <w:rPr>
          <w:rFonts w:ascii="黑体" w:hAnsi="黑体" w:eastAsia="黑体"/>
          <w:sz w:val="44"/>
          <w:szCs w:val="44"/>
          <w:highlight w:val="none"/>
        </w:rPr>
      </w:pPr>
    </w:p>
    <w:p w14:paraId="3365E572">
      <w:pPr>
        <w:jc w:val="center"/>
        <w:rPr>
          <w:rFonts w:ascii="黑体" w:hAnsi="黑体" w:eastAsia="黑体"/>
          <w:sz w:val="44"/>
          <w:szCs w:val="44"/>
          <w:highlight w:val="none"/>
        </w:rPr>
      </w:pPr>
    </w:p>
    <w:p w14:paraId="5CFF7A8C">
      <w:pPr>
        <w:jc w:val="center"/>
        <w:rPr>
          <w:rFonts w:ascii="黑体" w:hAnsi="黑体" w:eastAsia="黑体"/>
          <w:sz w:val="44"/>
          <w:szCs w:val="44"/>
          <w:highlight w:val="none"/>
        </w:rPr>
      </w:pPr>
      <w:r>
        <w:rPr>
          <w:rFonts w:hint="eastAsia" w:ascii="黑体" w:hAnsi="黑体" w:eastAsia="黑体"/>
          <w:sz w:val="44"/>
          <w:szCs w:val="44"/>
          <w:highlight w:val="none"/>
        </w:rPr>
        <w:t>永吉县农业农村局</w:t>
      </w:r>
      <w:r>
        <w:rPr>
          <w:rFonts w:hint="eastAsia" w:ascii="黑体" w:hAnsi="黑体" w:eastAsia="黑体"/>
          <w:sz w:val="44"/>
          <w:szCs w:val="44"/>
          <w:highlight w:val="none"/>
        </w:rPr>
        <w:t>202</w:t>
      </w:r>
      <w:r>
        <w:rPr>
          <w:rFonts w:hint="eastAsia" w:ascii="黑体" w:hAnsi="黑体" w:eastAsia="黑体"/>
          <w:sz w:val="44"/>
          <w:szCs w:val="44"/>
          <w:highlight w:val="none"/>
          <w:lang w:val="en-US" w:eastAsia="zh-CN"/>
        </w:rPr>
        <w:t>5</w:t>
      </w:r>
      <w:r>
        <w:rPr>
          <w:rFonts w:hint="eastAsia" w:ascii="黑体" w:hAnsi="黑体" w:eastAsia="黑体"/>
          <w:sz w:val="44"/>
          <w:szCs w:val="44"/>
          <w:highlight w:val="none"/>
        </w:rPr>
        <w:t>年预算</w:t>
      </w:r>
    </w:p>
    <w:p w14:paraId="261985AA">
      <w:pPr>
        <w:tabs>
          <w:tab w:val="left" w:pos="3240"/>
        </w:tabs>
        <w:rPr>
          <w:rFonts w:ascii="黑体" w:hAnsi="黑体" w:eastAsia="黑体"/>
          <w:sz w:val="44"/>
          <w:szCs w:val="44"/>
          <w:highlight w:val="none"/>
        </w:rPr>
      </w:pPr>
      <w:r>
        <w:rPr>
          <w:rFonts w:ascii="黑体" w:hAnsi="黑体" w:eastAsia="黑体"/>
          <w:sz w:val="44"/>
          <w:szCs w:val="44"/>
          <w:highlight w:val="none"/>
        </w:rPr>
        <w:tab/>
      </w:r>
      <w:r>
        <w:rPr>
          <w:rFonts w:hint="eastAsia" w:ascii="黑体" w:hAnsi="黑体" w:eastAsia="黑体"/>
          <w:sz w:val="44"/>
          <w:szCs w:val="44"/>
          <w:highlight w:val="none"/>
        </w:rPr>
        <w:t>目  录</w:t>
      </w:r>
    </w:p>
    <w:p w14:paraId="7EB82650">
      <w:pPr>
        <w:rPr>
          <w:rFonts w:ascii="仿宋" w:hAnsi="仿宋" w:eastAsia="仿宋"/>
          <w:sz w:val="32"/>
          <w:szCs w:val="32"/>
          <w:highlight w:val="none"/>
        </w:rPr>
      </w:pPr>
      <w:r>
        <w:rPr>
          <w:rFonts w:hint="eastAsia" w:ascii="仿宋" w:hAnsi="仿宋" w:eastAsia="仿宋"/>
          <w:sz w:val="32"/>
          <w:szCs w:val="32"/>
          <w:highlight w:val="none"/>
        </w:rPr>
        <w:t>第一部分  部门概况</w:t>
      </w:r>
    </w:p>
    <w:p w14:paraId="1986C6B7">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主要职能</w:t>
      </w:r>
    </w:p>
    <w:p w14:paraId="5E827934">
      <w:pPr>
        <w:pStyle w:val="8"/>
        <w:numPr>
          <w:ilvl w:val="0"/>
          <w:numId w:val="1"/>
        </w:numPr>
        <w:ind w:firstLineChars="0"/>
        <w:rPr>
          <w:rFonts w:ascii="仿宋" w:hAnsi="仿宋" w:eastAsia="仿宋"/>
          <w:sz w:val="32"/>
          <w:szCs w:val="32"/>
          <w:highlight w:val="none"/>
        </w:rPr>
      </w:pPr>
      <w:r>
        <w:rPr>
          <w:rFonts w:hint="eastAsia" w:ascii="仿宋" w:hAnsi="仿宋" w:eastAsia="仿宋"/>
          <w:sz w:val="32"/>
          <w:szCs w:val="32"/>
          <w:highlight w:val="none"/>
        </w:rPr>
        <w:t>机构设置</w:t>
      </w:r>
    </w:p>
    <w:p w14:paraId="0C6C573F">
      <w:pPr>
        <w:rPr>
          <w:rFonts w:ascii="仿宋" w:hAnsi="仿宋" w:eastAsia="仿宋"/>
          <w:sz w:val="32"/>
          <w:szCs w:val="32"/>
          <w:highlight w:val="none"/>
        </w:rPr>
      </w:pPr>
      <w:r>
        <w:rPr>
          <w:rFonts w:hint="eastAsia" w:ascii="仿宋" w:hAnsi="仿宋" w:eastAsia="仿宋"/>
          <w:sz w:val="32"/>
          <w:szCs w:val="32"/>
          <w:highlight w:val="none"/>
        </w:rPr>
        <w:t>第二部分  情况说明</w:t>
      </w:r>
    </w:p>
    <w:p w14:paraId="28BC7310">
      <w:pPr>
        <w:rPr>
          <w:rFonts w:ascii="仿宋" w:hAnsi="仿宋" w:eastAsia="仿宋"/>
          <w:sz w:val="32"/>
          <w:szCs w:val="32"/>
          <w:highlight w:val="none"/>
        </w:rPr>
      </w:pPr>
      <w:r>
        <w:rPr>
          <w:rFonts w:hint="eastAsia" w:ascii="仿宋" w:hAnsi="仿宋" w:eastAsia="仿宋"/>
          <w:sz w:val="32"/>
          <w:szCs w:val="32"/>
          <w:highlight w:val="none"/>
        </w:rPr>
        <w:t xml:space="preserve">第三部分  名词解释 </w:t>
      </w:r>
    </w:p>
    <w:p w14:paraId="2ABE5E56">
      <w:pPr>
        <w:rPr>
          <w:rFonts w:ascii="仿宋" w:hAnsi="仿宋" w:eastAsia="仿宋"/>
          <w:sz w:val="32"/>
          <w:szCs w:val="32"/>
          <w:highlight w:val="none"/>
        </w:rPr>
      </w:pPr>
      <w:r>
        <w:rPr>
          <w:rFonts w:hint="eastAsia" w:ascii="仿宋" w:hAnsi="仿宋" w:eastAsia="仿宋"/>
          <w:sz w:val="32"/>
          <w:szCs w:val="32"/>
          <w:highlight w:val="none"/>
        </w:rPr>
        <w:t>第四部分  预算表格</w:t>
      </w:r>
    </w:p>
    <w:p w14:paraId="46E7D954">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收支总表</w:t>
      </w:r>
    </w:p>
    <w:p w14:paraId="4030897D">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收入总表</w:t>
      </w:r>
    </w:p>
    <w:p w14:paraId="6A96BF52">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支出总表</w:t>
      </w:r>
    </w:p>
    <w:p w14:paraId="07AC095D">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财政拨款收支总表</w:t>
      </w:r>
    </w:p>
    <w:p w14:paraId="3032DC8D">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一般公共预算支出表</w:t>
      </w:r>
    </w:p>
    <w:p w14:paraId="6E5ED571">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一般公共预算财政拨款基本支出预算表</w:t>
      </w:r>
    </w:p>
    <w:p w14:paraId="335619B1">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一般公共预算“三公”经费支出表</w:t>
      </w:r>
    </w:p>
    <w:p w14:paraId="1237DDDC">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政府性基金预算支出表</w:t>
      </w:r>
    </w:p>
    <w:p w14:paraId="0B58D1ED">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国有资本经营预算支出表</w:t>
      </w:r>
    </w:p>
    <w:p w14:paraId="446824A0">
      <w:pPr>
        <w:pStyle w:val="8"/>
        <w:numPr>
          <w:ilvl w:val="0"/>
          <w:numId w:val="2"/>
        </w:numPr>
        <w:ind w:firstLineChars="0"/>
        <w:rPr>
          <w:rFonts w:ascii="仿宋" w:hAnsi="仿宋" w:eastAsia="仿宋"/>
          <w:sz w:val="32"/>
          <w:szCs w:val="32"/>
          <w:highlight w:val="none"/>
        </w:rPr>
      </w:pPr>
      <w:r>
        <w:rPr>
          <w:rFonts w:hint="eastAsia" w:ascii="仿宋" w:hAnsi="仿宋" w:eastAsia="仿宋"/>
          <w:sz w:val="32"/>
          <w:szCs w:val="32"/>
          <w:highlight w:val="none"/>
        </w:rPr>
        <w:t>项目支出表</w:t>
      </w:r>
    </w:p>
    <w:p w14:paraId="6F6627B0">
      <w:pPr>
        <w:rPr>
          <w:rFonts w:ascii="仿宋" w:hAnsi="仿宋" w:eastAsia="仿宋"/>
          <w:sz w:val="32"/>
          <w:szCs w:val="32"/>
          <w:highlight w:val="none"/>
        </w:rPr>
      </w:pPr>
    </w:p>
    <w:p w14:paraId="0EBF0B06">
      <w:pPr>
        <w:rPr>
          <w:rFonts w:ascii="仿宋" w:hAnsi="仿宋" w:eastAsia="仿宋"/>
          <w:sz w:val="32"/>
          <w:szCs w:val="32"/>
          <w:highlight w:val="none"/>
        </w:rPr>
      </w:pPr>
    </w:p>
    <w:p w14:paraId="2CE41E1B">
      <w:pPr>
        <w:rPr>
          <w:rFonts w:ascii="仿宋" w:hAnsi="仿宋" w:eastAsia="仿宋"/>
          <w:sz w:val="32"/>
          <w:szCs w:val="32"/>
          <w:highlight w:val="none"/>
        </w:rPr>
      </w:pPr>
    </w:p>
    <w:p w14:paraId="26D0BCF2">
      <w:pPr>
        <w:jc w:val="center"/>
        <w:rPr>
          <w:rFonts w:ascii="黑体" w:hAnsi="黑体" w:eastAsia="黑体"/>
          <w:sz w:val="32"/>
          <w:szCs w:val="32"/>
          <w:highlight w:val="none"/>
        </w:rPr>
      </w:pPr>
      <w:r>
        <w:rPr>
          <w:rFonts w:hint="eastAsia" w:ascii="黑体" w:hAnsi="黑体" w:eastAsia="黑体"/>
          <w:sz w:val="32"/>
          <w:szCs w:val="32"/>
          <w:highlight w:val="none"/>
        </w:rPr>
        <w:t>第一部分    部门（单位）概况</w:t>
      </w:r>
    </w:p>
    <w:p w14:paraId="7007877D">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7A8ADA10">
      <w:pPr>
        <w:jc w:val="left"/>
        <w:rPr>
          <w:rFonts w:ascii="仿宋" w:hAnsi="仿宋" w:eastAsia="仿宋"/>
          <w:sz w:val="32"/>
          <w:szCs w:val="32"/>
          <w:highlight w:val="none"/>
        </w:rPr>
      </w:pPr>
      <w:r>
        <w:rPr>
          <w:rFonts w:hint="eastAsia" w:ascii="仿宋" w:hAnsi="仿宋" w:eastAsia="仿宋"/>
          <w:sz w:val="32"/>
          <w:szCs w:val="32"/>
          <w:highlight w:val="none"/>
        </w:rPr>
        <w:t xml:space="preserve"> 一、主要职能</w:t>
      </w:r>
    </w:p>
    <w:p w14:paraId="5D0B6BF0">
      <w:pPr>
        <w:pStyle w:val="10"/>
        <w:widowControl/>
        <w:spacing w:line="620" w:lineRule="exact"/>
        <w:ind w:firstLine="627" w:firstLineChars="196"/>
        <w:contextualSpacing/>
        <w:rPr>
          <w:rFonts w:ascii="仿宋" w:hAnsi="仿宋" w:eastAsia="仿宋"/>
          <w:bCs/>
          <w:sz w:val="32"/>
          <w:szCs w:val="32"/>
          <w:highlight w:val="none"/>
        </w:rPr>
      </w:pPr>
      <w:r>
        <w:rPr>
          <w:rFonts w:hint="eastAsia" w:ascii="仿宋" w:hAnsi="仿宋" w:eastAsia="仿宋"/>
          <w:bCs/>
          <w:sz w:val="32"/>
          <w:szCs w:val="32"/>
          <w:highlight w:val="none"/>
        </w:rPr>
        <w:t>单位</w:t>
      </w:r>
      <w:r>
        <w:rPr>
          <w:rFonts w:hint="eastAsia" w:ascii="仿宋" w:hAnsi="仿宋" w:eastAsia="仿宋"/>
          <w:bCs/>
          <w:kern w:val="0"/>
          <w:sz w:val="32"/>
          <w:szCs w:val="32"/>
          <w:highlight w:val="none"/>
        </w:rPr>
        <w:t>名称：永吉县农业农村局</w:t>
      </w:r>
    </w:p>
    <w:p w14:paraId="0B18D5AE">
      <w:pPr>
        <w:pStyle w:val="10"/>
        <w:widowControl/>
        <w:spacing w:line="620" w:lineRule="exact"/>
        <w:ind w:firstLine="627" w:firstLineChars="196"/>
        <w:contextualSpacing/>
        <w:rPr>
          <w:rFonts w:hint="eastAsia" w:ascii="仿宋" w:hAnsi="仿宋" w:eastAsia="仿宋"/>
          <w:kern w:val="0"/>
          <w:sz w:val="32"/>
          <w:szCs w:val="32"/>
          <w:highlight w:val="none"/>
          <w:lang w:val="en-US" w:eastAsia="zh-CN"/>
        </w:rPr>
      </w:pPr>
      <w:r>
        <w:rPr>
          <w:rFonts w:hint="eastAsia" w:ascii="仿宋" w:hAnsi="仿宋" w:eastAsia="仿宋"/>
          <w:bCs/>
          <w:kern w:val="0"/>
          <w:sz w:val="32"/>
          <w:szCs w:val="32"/>
          <w:highlight w:val="none"/>
        </w:rPr>
        <w:t>单位性质</w:t>
      </w:r>
      <w:r>
        <w:rPr>
          <w:rFonts w:hint="eastAsia" w:ascii="仿宋" w:hAnsi="仿宋" w:eastAsia="仿宋"/>
          <w:kern w:val="0"/>
          <w:sz w:val="32"/>
          <w:szCs w:val="32"/>
          <w:highlight w:val="none"/>
        </w:rPr>
        <w:t>：</w:t>
      </w:r>
      <w:r>
        <w:rPr>
          <w:rFonts w:hint="eastAsia" w:ascii="仿宋" w:hAnsi="仿宋" w:eastAsia="仿宋"/>
          <w:kern w:val="0"/>
          <w:sz w:val="32"/>
          <w:szCs w:val="32"/>
          <w:highlight w:val="none"/>
          <w:lang w:eastAsia="zh-CN"/>
        </w:rPr>
        <w:t>行政机关</w:t>
      </w:r>
    </w:p>
    <w:p w14:paraId="5A3C2636">
      <w:pPr>
        <w:pStyle w:val="10"/>
        <w:widowControl/>
        <w:spacing w:line="620" w:lineRule="exact"/>
        <w:ind w:firstLine="627" w:firstLineChars="196"/>
        <w:contextualSpacing/>
        <w:rPr>
          <w:rFonts w:hint="eastAsia" w:ascii="仿宋" w:hAnsi="仿宋" w:eastAsia="仿宋"/>
          <w:bCs/>
          <w:kern w:val="0"/>
          <w:sz w:val="32"/>
          <w:szCs w:val="32"/>
          <w:highlight w:val="none"/>
        </w:rPr>
      </w:pPr>
      <w:r>
        <w:rPr>
          <w:rFonts w:hint="eastAsia" w:ascii="仿宋" w:hAnsi="仿宋" w:eastAsia="仿宋"/>
          <w:bCs/>
          <w:kern w:val="0"/>
          <w:sz w:val="32"/>
          <w:szCs w:val="32"/>
          <w:highlight w:val="none"/>
        </w:rPr>
        <w:t>主要职能：</w:t>
      </w:r>
    </w:p>
    <w:p w14:paraId="151170B0">
      <w:pPr>
        <w:ind w:firstLine="640" w:firstLineChars="200"/>
        <w:rPr>
          <w:rFonts w:ascii="仿宋_GB2312" w:hAnsi="仿宋" w:eastAsia="仿宋_GB2312"/>
          <w:sz w:val="32"/>
          <w:szCs w:val="32"/>
          <w:highlight w:val="none"/>
        </w:rPr>
      </w:pPr>
      <w:r>
        <w:rPr>
          <w:rFonts w:hint="eastAsia" w:ascii="仿宋_GB2312" w:hAnsi="仿宋" w:eastAsia="仿宋_GB2312"/>
          <w:sz w:val="32"/>
          <w:szCs w:val="32"/>
          <w:highlight w:val="none"/>
        </w:rPr>
        <w:t>（1）统筹研究和组织实施党和国家“三农”工作的发展战略、中长期规划、重大政策。组织落实农业农村有关地方性法规和政府规章草案，指导农业综合执法。参与涉农的财税、价格、收储、金融保险、进出口等政策制定。</w:t>
      </w:r>
    </w:p>
    <w:p w14:paraId="406B6549">
      <w:pPr>
        <w:rPr>
          <w:rFonts w:ascii="仿宋_GB2312" w:hAnsi="仿宋" w:eastAsia="仿宋_GB2312"/>
          <w:sz w:val="32"/>
          <w:szCs w:val="32"/>
          <w:highlight w:val="none"/>
        </w:rPr>
      </w:pPr>
      <w:r>
        <w:rPr>
          <w:rFonts w:hint="eastAsia" w:ascii="仿宋_GB2312" w:hAnsi="仿宋" w:eastAsia="仿宋_GB2312"/>
          <w:sz w:val="32"/>
          <w:szCs w:val="32"/>
          <w:highlight w:val="none"/>
        </w:rPr>
        <w:t xml:space="preserve">    （2）协调推动发展农村社会事业、农村公共服务、农村文化、农村基础设施和乡村治理。牵头组织改善农村人居环境。指导农村精神文明和优秀农耕文化建设。</w:t>
      </w:r>
    </w:p>
    <w:p w14:paraId="61080D10">
      <w:pPr>
        <w:rPr>
          <w:rFonts w:ascii="仿宋_GB2312" w:hAnsi="仿宋" w:eastAsia="仿宋_GB2312"/>
          <w:sz w:val="32"/>
          <w:szCs w:val="32"/>
          <w:highlight w:val="none"/>
        </w:rPr>
      </w:pPr>
      <w:r>
        <w:rPr>
          <w:rFonts w:hint="eastAsia" w:ascii="仿宋_GB2312" w:hAnsi="仿宋" w:eastAsia="仿宋_GB2312"/>
          <w:sz w:val="32"/>
          <w:szCs w:val="32"/>
          <w:highlight w:val="none"/>
        </w:rPr>
        <w:t xml:space="preserve">    （3）承担全县深化农村经济体制改革和巩固完善农村基本经营制度的工作。负责农民承包地、农村宅基地改革和管理有关工作。负责农村集体产权制度改革,指导农村集体经济组织发展和集体资产管理工作。指导农民合作经济组织、农业社会化服务体系、新型农业经营主体建设与发展。</w:t>
      </w:r>
    </w:p>
    <w:p w14:paraId="235F1ECF">
      <w:pPr>
        <w:rPr>
          <w:rFonts w:ascii="仿宋_GB2312" w:hAnsi="仿宋" w:eastAsia="仿宋_GB2312"/>
          <w:sz w:val="32"/>
          <w:szCs w:val="32"/>
          <w:highlight w:val="none"/>
        </w:rPr>
      </w:pPr>
      <w:r>
        <w:rPr>
          <w:rFonts w:hint="eastAsia" w:ascii="仿宋_GB2312" w:hAnsi="仿宋" w:eastAsia="仿宋_GB2312"/>
          <w:sz w:val="32"/>
          <w:szCs w:val="32"/>
          <w:highlight w:val="none"/>
        </w:rPr>
        <w:t xml:space="preserve">    （4）指导全县乡村特色产业、农产品加工业、休闲农业和乡镇企业发展工作。提出促进大宗农产品流通的建议,培育、保护农业品牌。发布农业农村经济信息,监测分析农业农村经济运行。承担农业统计和农业农村信息化有关工作。承办农业涉外事务，组织开展农业贸易促进和对外交流合作工作。</w:t>
      </w:r>
    </w:p>
    <w:p w14:paraId="763FCC8A">
      <w:pPr>
        <w:rPr>
          <w:rFonts w:ascii="仿宋_GB2312" w:hAnsi="仿宋" w:eastAsia="仿宋_GB2312"/>
          <w:sz w:val="32"/>
          <w:szCs w:val="32"/>
          <w:highlight w:val="none"/>
        </w:rPr>
      </w:pPr>
      <w:r>
        <w:rPr>
          <w:rFonts w:hint="eastAsia" w:ascii="仿宋_GB2312" w:hAnsi="仿宋" w:eastAsia="仿宋_GB2312"/>
          <w:sz w:val="32"/>
          <w:szCs w:val="32"/>
          <w:highlight w:val="none"/>
        </w:rPr>
        <w:t xml:space="preserve">    （5）负责全县种植业、畜牧业、水产、农垦、农业机械化等农业各产业的监督管理。指导粮食等农产品生产。组织构建现代农业产业体系、生产体系、经营体系，指导农业标准化生产。负责渔政渔港监督管理。</w:t>
      </w:r>
    </w:p>
    <w:p w14:paraId="107F0184">
      <w:pPr>
        <w:rPr>
          <w:rFonts w:ascii="仿宋_GB2312" w:hAnsi="仿宋" w:eastAsia="仿宋_GB2312"/>
          <w:sz w:val="32"/>
          <w:szCs w:val="32"/>
          <w:highlight w:val="none"/>
        </w:rPr>
      </w:pPr>
      <w:r>
        <w:rPr>
          <w:rFonts w:hint="eastAsia" w:ascii="仿宋_GB2312" w:hAnsi="仿宋" w:eastAsia="仿宋_GB2312"/>
          <w:sz w:val="32"/>
          <w:szCs w:val="32"/>
          <w:highlight w:val="none"/>
        </w:rPr>
        <w:t xml:space="preserve">    （6）负责全县农畜产品质量安全监督管理。组织开展农产品质量安全监测、追溯、风险评估。提出技术性贸易措施建议。参与制定农产品质量地方性安全相关标准并会同有关部门组织实施。指导农业检验检测体系建设。</w:t>
      </w:r>
    </w:p>
    <w:p w14:paraId="0C651FE2">
      <w:pPr>
        <w:rPr>
          <w:rFonts w:ascii="仿宋_GB2312" w:hAnsi="仿宋" w:eastAsia="仿宋_GB2312"/>
          <w:sz w:val="32"/>
          <w:szCs w:val="32"/>
          <w:highlight w:val="none"/>
        </w:rPr>
      </w:pPr>
      <w:r>
        <w:rPr>
          <w:rFonts w:hint="eastAsia" w:ascii="仿宋_GB2312" w:hAnsi="仿宋" w:eastAsia="仿宋_GB2312"/>
          <w:sz w:val="32"/>
          <w:szCs w:val="32"/>
          <w:highlight w:val="none"/>
        </w:rPr>
        <w:t xml:space="preserve">    （7）组织全县农业资源区划工作。指导农用地，渔业水域以及农业生物物种、畜禽品种资源的保护与管理，负责水生野生动植物保护、耕地及永久基本农田质量保护工作。指导农产品产地环境管理和农业清洁生产。指导设施农业、生态循环农业、节水农业发展以及农村可再生能源综合开发利用、农业生物质产业发展。牵头管理外来物种。负责全县农业综合开发项目、农田整治项目、农业投资项目及农田水利建设管理。</w:t>
      </w:r>
    </w:p>
    <w:p w14:paraId="0AE08398">
      <w:pPr>
        <w:rPr>
          <w:rFonts w:ascii="仿宋_GB2312" w:hAnsi="仿宋" w:eastAsia="仿宋_GB2312"/>
          <w:sz w:val="32"/>
          <w:szCs w:val="32"/>
          <w:highlight w:val="none"/>
        </w:rPr>
      </w:pPr>
      <w:r>
        <w:rPr>
          <w:rFonts w:hint="eastAsia" w:ascii="仿宋_GB2312" w:hAnsi="仿宋" w:eastAsia="仿宋_GB2312"/>
          <w:sz w:val="32"/>
          <w:szCs w:val="32"/>
          <w:highlight w:val="none"/>
        </w:rPr>
        <w:t xml:space="preserve">    （8）负责全县有关农业生产资料和农业投入品的监督管理。组织农业生产资料市场体系建设。参与有关农业生产资料国家标准、行业标准的拟定工作，组织拟定有关农业生产资料地方标准并监督实施。执行兽药、饲料及饲料添加剂质量、兽药残留限量和残留检测方法国家标准。组织兽医医政、兽药药政药检工作，负责执业兽医和畜禽屠宰行业管理。</w:t>
      </w:r>
    </w:p>
    <w:p w14:paraId="011FC768">
      <w:pPr>
        <w:rPr>
          <w:rFonts w:ascii="仿宋_GB2312" w:hAnsi="仿宋" w:eastAsia="仿宋_GB2312"/>
          <w:sz w:val="32"/>
          <w:szCs w:val="32"/>
          <w:highlight w:val="none"/>
        </w:rPr>
      </w:pPr>
      <w:r>
        <w:rPr>
          <w:rFonts w:hint="eastAsia" w:ascii="仿宋_GB2312" w:hAnsi="仿宋" w:eastAsia="仿宋_GB2312"/>
          <w:sz w:val="32"/>
          <w:szCs w:val="32"/>
          <w:highlight w:val="none"/>
        </w:rPr>
        <w:t xml:space="preserve">    （9）负责全县农业防灾减灾、农作物重大病虫害防治工作。指导植物、水生动植物检疫防疫体系建设，组织、监督全县植物、水生动植物检疫防疫工作，发布疫情并组织扑灭。</w:t>
      </w:r>
    </w:p>
    <w:p w14:paraId="05666CA6">
      <w:pPr>
        <w:rPr>
          <w:rFonts w:ascii="仿宋_GB2312" w:hAnsi="仿宋" w:eastAsia="仿宋_GB2312"/>
          <w:sz w:val="32"/>
          <w:szCs w:val="32"/>
          <w:highlight w:val="none"/>
        </w:rPr>
      </w:pPr>
      <w:r>
        <w:rPr>
          <w:rFonts w:hint="eastAsia" w:ascii="仿宋_GB2312" w:hAnsi="仿宋" w:eastAsia="仿宋_GB2312"/>
          <w:sz w:val="32"/>
          <w:szCs w:val="32"/>
          <w:highlight w:val="none"/>
        </w:rPr>
        <w:t xml:space="preserve">    （10）负责农业投资管理。提出农业投融资体制机制改革建议。编制县级投资安排的农业投资项目建设规划，提出农业投资规模和方向、扶持农业农村发展财政项目的建议，按国家规定权限审批农业投资项目，负责农业投资项目资金安排和监督管理。</w:t>
      </w:r>
    </w:p>
    <w:p w14:paraId="0FB27AE5">
      <w:pPr>
        <w:rPr>
          <w:rFonts w:ascii="仿宋_GB2312" w:hAnsi="仿宋" w:eastAsia="仿宋_GB2312"/>
          <w:sz w:val="32"/>
          <w:szCs w:val="32"/>
          <w:highlight w:val="none"/>
        </w:rPr>
      </w:pPr>
      <w:r>
        <w:rPr>
          <w:rFonts w:hint="eastAsia" w:ascii="仿宋_GB2312" w:hAnsi="仿宋" w:eastAsia="仿宋_GB2312"/>
          <w:sz w:val="32"/>
          <w:szCs w:val="32"/>
          <w:highlight w:val="none"/>
        </w:rPr>
        <w:t xml:space="preserve">    （11）推动全县农业科技体制改革和农业科技创新体系建设。指导农业产业技术体系和农技推广体系建设，组织开展农业领域的高新技术和应用技术研究、科技成果转化和技术推广。负责农业转基因生物安全监督管理和动植物新品种保护。</w:t>
      </w:r>
    </w:p>
    <w:p w14:paraId="6C42F4E6">
      <w:pPr>
        <w:rPr>
          <w:rFonts w:ascii="仿宋_GB2312" w:hAnsi="仿宋" w:eastAsia="仿宋_GB2312"/>
          <w:sz w:val="32"/>
          <w:szCs w:val="32"/>
          <w:highlight w:val="none"/>
        </w:rPr>
      </w:pPr>
      <w:r>
        <w:rPr>
          <w:rFonts w:hint="eastAsia" w:ascii="仿宋_GB2312" w:hAnsi="仿宋" w:eastAsia="仿宋_GB2312"/>
          <w:sz w:val="32"/>
          <w:szCs w:val="32"/>
          <w:highlight w:val="none"/>
        </w:rPr>
        <w:t xml:space="preserve">    （12）指导全县农业农村人才工作。拟订农业农村人才队伍建设规划并组织实施，指导农业教育和农业职业技能开发，指导新型职业农民培育、农业科技人才培养和农村实用人才培训工作。</w:t>
      </w:r>
    </w:p>
    <w:p w14:paraId="2E94E165">
      <w:pPr>
        <w:rPr>
          <w:rFonts w:ascii="仿宋_GB2312" w:hAnsi="仿宋" w:eastAsia="仿宋_GB2312"/>
          <w:sz w:val="32"/>
          <w:szCs w:val="32"/>
          <w:highlight w:val="none"/>
        </w:rPr>
      </w:pPr>
      <w:r>
        <w:rPr>
          <w:rFonts w:hint="eastAsia" w:ascii="仿宋_GB2312" w:hAnsi="仿宋" w:eastAsia="仿宋_GB2312"/>
          <w:sz w:val="32"/>
          <w:szCs w:val="32"/>
          <w:highlight w:val="none"/>
        </w:rPr>
        <w:t xml:space="preserve">    （13）贯彻执行国家关于畜牧、兽医、兽药、饲料行业（以下简称“畜牧业”）发展战略和方针政策；负责畜牧业法律法规执法检查和监督；编制全县畜牧业发展中长期规划和年度计划，并组织实施。</w:t>
      </w:r>
    </w:p>
    <w:p w14:paraId="2020FCF1">
      <w:pPr>
        <w:rPr>
          <w:rFonts w:ascii="仿宋_GB2312" w:hAnsi="仿宋" w:eastAsia="仿宋_GB2312"/>
          <w:sz w:val="32"/>
          <w:szCs w:val="32"/>
          <w:highlight w:val="none"/>
        </w:rPr>
      </w:pPr>
      <w:r>
        <w:rPr>
          <w:rFonts w:hint="eastAsia" w:ascii="仿宋_GB2312" w:hAnsi="仿宋" w:eastAsia="仿宋_GB2312"/>
          <w:sz w:val="32"/>
          <w:szCs w:val="32"/>
          <w:highlight w:val="none"/>
        </w:rPr>
        <w:t xml:space="preserve">    (14)负责全县动物疫病防控工作。制定动物疫病防治规划；研究拟定动物重大疫病扑灭计划，并组织实施、定期评估及监督执行；负责动物疫病免疫、监测、检疫、监督等工作；负责动物疫情管理及应急保障等工作；负责兽医医政、兽药药政、饲料及饲料添加剂监管等工作；负责人畜共患病的预防工作；负责无规定动物疫病区建设和管理工作。</w:t>
      </w:r>
    </w:p>
    <w:p w14:paraId="23528CAE">
      <w:pPr>
        <w:rPr>
          <w:rFonts w:ascii="仿宋_GB2312" w:hAnsi="仿宋" w:eastAsia="仿宋_GB2312"/>
          <w:sz w:val="32"/>
          <w:szCs w:val="32"/>
          <w:highlight w:val="none"/>
        </w:rPr>
      </w:pPr>
      <w:r>
        <w:rPr>
          <w:rFonts w:hint="eastAsia" w:ascii="仿宋_GB2312" w:hAnsi="仿宋" w:eastAsia="仿宋_GB2312"/>
          <w:sz w:val="32"/>
          <w:szCs w:val="32"/>
          <w:highlight w:val="none"/>
        </w:rPr>
        <w:t xml:space="preserve">    (15) 贯彻执行兽药、饲料国家标准和行业标准并负责质量监督工作。负责兽药生产许可证的申报；负责种畜禽生产经营许可证、动物诊疗许可证、动物防疫条件合格证、兽药经营许可证、生鲜乳收购许可证、牧草种子经营许可证等行政审批和管理工作；负责草种生产、经营及兽医从业人员的管理工作。</w:t>
      </w:r>
    </w:p>
    <w:p w14:paraId="25730B32">
      <w:pPr>
        <w:rPr>
          <w:rFonts w:ascii="仿宋_GB2312" w:hAnsi="仿宋" w:eastAsia="仿宋_GB2312"/>
          <w:sz w:val="32"/>
          <w:szCs w:val="32"/>
          <w:highlight w:val="none"/>
        </w:rPr>
      </w:pPr>
      <w:r>
        <w:rPr>
          <w:rFonts w:hint="eastAsia" w:ascii="仿宋_GB2312" w:hAnsi="仿宋" w:eastAsia="仿宋_GB2312"/>
          <w:sz w:val="32"/>
          <w:szCs w:val="32"/>
          <w:highlight w:val="none"/>
        </w:rPr>
        <w:t xml:space="preserve">     (16)组织落实畜产品质量安全管理方面的地方性法规和规章草案，拟定相关政策并组织实施；负责组织畜禽品种、畜产品资源、饲料资源的保护及合理开发利用工作；负责无公害畜产品管理工作；负责畜产品加工业的发展规划、结构布局和综合协调；指导全县畜牧业饲养、加工、销售的一体化经营；负责生鲜乳生产、规划、基地建设、收购站的监督管理以及统计等工作。</w:t>
      </w:r>
    </w:p>
    <w:p w14:paraId="470B5545">
      <w:pPr>
        <w:rPr>
          <w:rFonts w:ascii="仿宋_GB2312" w:hAnsi="仿宋" w:eastAsia="仿宋_GB2312"/>
          <w:sz w:val="32"/>
          <w:szCs w:val="32"/>
          <w:highlight w:val="none"/>
        </w:rPr>
      </w:pPr>
      <w:r>
        <w:rPr>
          <w:rFonts w:hint="eastAsia" w:ascii="仿宋_GB2312" w:hAnsi="仿宋" w:eastAsia="仿宋_GB2312"/>
          <w:sz w:val="32"/>
          <w:szCs w:val="32"/>
          <w:highlight w:val="none"/>
        </w:rPr>
        <w:t xml:space="preserve">     (17)承担全县农业行业（领域）的安全生产管理和职业健康工作职责，指导督促企事业单位加强安全管理，依照有关法律、法规的规定履行安全生产监督管理职责，开展监督执法工作。</w:t>
      </w:r>
    </w:p>
    <w:p w14:paraId="214EC057">
      <w:pPr>
        <w:rPr>
          <w:rFonts w:ascii="仿宋_GB2312" w:hAnsi="仿宋" w:eastAsia="仿宋_GB2312"/>
          <w:sz w:val="32"/>
          <w:szCs w:val="32"/>
          <w:highlight w:val="none"/>
        </w:rPr>
      </w:pPr>
      <w:r>
        <w:rPr>
          <w:rFonts w:hint="eastAsia" w:ascii="仿宋_GB2312" w:hAnsi="仿宋" w:eastAsia="仿宋_GB2312"/>
          <w:sz w:val="32"/>
          <w:szCs w:val="32"/>
          <w:highlight w:val="none"/>
        </w:rPr>
        <w:t xml:space="preserve">    （18）完成县委、县政府和县委农村工作领导小组交办的其他任务。</w:t>
      </w:r>
    </w:p>
    <w:p w14:paraId="1A3DB6F6">
      <w:pPr>
        <w:rPr>
          <w:rFonts w:ascii="仿宋_GB2312" w:hAnsi="仿宋" w:eastAsia="仿宋_GB2312"/>
          <w:sz w:val="32"/>
          <w:szCs w:val="32"/>
          <w:highlight w:val="none"/>
        </w:rPr>
      </w:pPr>
      <w:r>
        <w:rPr>
          <w:rFonts w:hint="eastAsia" w:ascii="仿宋_GB2312" w:hAnsi="仿宋" w:eastAsia="仿宋_GB2312"/>
          <w:sz w:val="32"/>
          <w:szCs w:val="32"/>
          <w:highlight w:val="none"/>
        </w:rPr>
        <w:t xml:space="preserve">    （19）统筹实施乡村振兴战略，深化农业供给侧结构性改革，提升农业发展质量，扎实推进美丽乡村建设，推动农业全面升级、农村全面进步、农民全面发展，加快实现农业农村现代化。</w:t>
      </w:r>
    </w:p>
    <w:p w14:paraId="2994858B">
      <w:pPr>
        <w:rPr>
          <w:rFonts w:ascii="仿宋_GB2312" w:hAnsi="仿宋" w:eastAsia="仿宋_GB2312"/>
          <w:sz w:val="32"/>
          <w:szCs w:val="32"/>
          <w:highlight w:val="none"/>
        </w:rPr>
      </w:pPr>
      <w:r>
        <w:rPr>
          <w:rFonts w:hint="eastAsia" w:ascii="仿宋_GB2312" w:hAnsi="仿宋" w:eastAsia="仿宋_GB2312"/>
          <w:sz w:val="32"/>
          <w:szCs w:val="32"/>
          <w:highlight w:val="none"/>
        </w:rPr>
        <w:t xml:space="preserve">    </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lang w:val="en-US" w:eastAsia="zh-CN"/>
        </w:rPr>
        <w:t>20</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rPr>
        <w:t>加强全县农产品质量安全和相关农业生产资料、农业投入品的监督管理，坚持最严谨的标准、最严格的监管、最严厉的处罚、最严肃的问责，严防、严管、严控质量安全风险，让人民群众吃得放心、安心。</w:t>
      </w:r>
    </w:p>
    <w:p w14:paraId="027CEAD6">
      <w:pPr>
        <w:rPr>
          <w:rFonts w:hint="eastAsia" w:ascii="仿宋" w:hAnsi="仿宋" w:eastAsia="仿宋"/>
          <w:bCs/>
          <w:kern w:val="0"/>
          <w:sz w:val="32"/>
          <w:szCs w:val="32"/>
          <w:highlight w:val="none"/>
        </w:rPr>
      </w:pPr>
      <w:r>
        <w:rPr>
          <w:rFonts w:hint="eastAsia" w:ascii="仿宋_GB2312" w:hAnsi="仿宋" w:eastAsia="仿宋_GB2312"/>
          <w:sz w:val="32"/>
          <w:szCs w:val="32"/>
          <w:highlight w:val="none"/>
        </w:rPr>
        <w:t xml:space="preserve">    </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lang w:val="en-US" w:eastAsia="zh-CN"/>
        </w:rPr>
        <w:t>21</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rPr>
        <w:t>深入推进简政放权，加强对行业内交叉重复以及性质相同、用途相近的农业投资项目的统筹整合，最大限度缩小项目审批范围，进一步下放审批权限，加强事中事后监管，切实提升我县支农政策效果和资金使用效益。</w:t>
      </w:r>
    </w:p>
    <w:p w14:paraId="00E658E4">
      <w:pPr>
        <w:pStyle w:val="10"/>
        <w:widowControl/>
        <w:spacing w:line="620" w:lineRule="exact"/>
        <w:ind w:firstLine="627" w:firstLineChars="196"/>
        <w:contextualSpacing/>
        <w:rPr>
          <w:rFonts w:hint="eastAsia" w:ascii="仿宋" w:hAnsi="仿宋" w:eastAsia="仿宋"/>
          <w:kern w:val="0"/>
          <w:sz w:val="32"/>
          <w:szCs w:val="32"/>
          <w:highlight w:val="none"/>
        </w:rPr>
      </w:pPr>
      <w:r>
        <w:rPr>
          <w:rFonts w:hint="eastAsia" w:ascii="仿宋" w:hAnsi="仿宋" w:eastAsia="仿宋"/>
          <w:bCs/>
          <w:kern w:val="0"/>
          <w:sz w:val="32"/>
          <w:szCs w:val="32"/>
          <w:highlight w:val="none"/>
        </w:rPr>
        <w:t>主要业务：</w:t>
      </w:r>
      <w:r>
        <w:rPr>
          <w:rFonts w:hint="eastAsia" w:ascii="仿宋" w:hAnsi="仿宋" w:eastAsia="仿宋"/>
          <w:bCs/>
          <w:kern w:val="0"/>
          <w:sz w:val="32"/>
          <w:szCs w:val="32"/>
          <w:highlight w:val="none"/>
          <w:lang w:eastAsia="zh-CN"/>
        </w:rPr>
        <w:t>指导全县农业产业化发展、发展培育壮大扶持新型经营主体农业龙头企业，农业产业化联合，农村政策制定和实施监管，农产品质量安全检测和监管，农业机械化和技术的推广和应用，农产品加工，新型职业农民培育农业数字化信息化推广和应用，兽药饲料行政审批和监管，动物疫情防控和无疫区建设，全县高标准农田高质量建设和黑土地保护利用等业务。</w:t>
      </w:r>
    </w:p>
    <w:p w14:paraId="77A1FBD5">
      <w:pPr>
        <w:pStyle w:val="10"/>
        <w:widowControl/>
        <w:spacing w:line="620" w:lineRule="exact"/>
        <w:ind w:firstLine="320" w:firstLineChars="100"/>
        <w:contextualSpacing/>
        <w:rPr>
          <w:rFonts w:ascii="仿宋" w:hAnsi="仿宋" w:eastAsia="仿宋"/>
          <w:sz w:val="32"/>
          <w:szCs w:val="32"/>
          <w:highlight w:val="none"/>
        </w:rPr>
      </w:pPr>
      <w:r>
        <w:rPr>
          <w:rFonts w:hint="eastAsia" w:ascii="仿宋" w:hAnsi="仿宋" w:eastAsia="仿宋"/>
          <w:sz w:val="32"/>
          <w:szCs w:val="32"/>
          <w:highlight w:val="none"/>
        </w:rPr>
        <w:t>二、机构设置</w:t>
      </w:r>
    </w:p>
    <w:p w14:paraId="14DF9D5E">
      <w:pPr>
        <w:pStyle w:val="12"/>
        <w:ind w:firstLine="627" w:firstLineChars="196"/>
        <w:rPr>
          <w:rFonts w:hint="eastAsia" w:ascii="仿宋" w:hAnsi="仿宋" w:eastAsia="仿宋"/>
          <w:bCs/>
          <w:kern w:val="0"/>
          <w:sz w:val="32"/>
          <w:szCs w:val="32"/>
          <w:highlight w:val="none"/>
          <w:lang w:val="en-US" w:eastAsia="zh-CN"/>
        </w:rPr>
      </w:pPr>
      <w:r>
        <w:rPr>
          <w:rFonts w:hint="eastAsia" w:ascii="仿宋" w:hAnsi="仿宋" w:eastAsia="仿宋"/>
          <w:kern w:val="0"/>
          <w:szCs w:val="32"/>
          <w:highlight w:val="none"/>
        </w:rPr>
        <w:t>机构设置包括：</w:t>
      </w:r>
      <w:r>
        <w:rPr>
          <w:rFonts w:hint="eastAsia" w:ascii="仿宋" w:hAnsi="仿宋" w:eastAsia="仿宋"/>
          <w:bCs/>
          <w:kern w:val="0"/>
          <w:sz w:val="32"/>
          <w:szCs w:val="32"/>
          <w:highlight w:val="none"/>
          <w:lang w:eastAsia="zh-CN"/>
        </w:rPr>
        <w:t>永吉</w:t>
      </w:r>
      <w:r>
        <w:rPr>
          <w:rFonts w:hint="default" w:ascii="仿宋" w:hAnsi="仿宋" w:eastAsia="仿宋"/>
          <w:bCs/>
          <w:kern w:val="0"/>
          <w:sz w:val="32"/>
          <w:szCs w:val="32"/>
          <w:highlight w:val="none"/>
          <w:lang w:val="en-US" w:eastAsia="zh-CN"/>
        </w:rPr>
        <w:t>县农业农村局设8个职能科室：综合科、计划财务科、产业科、调研科、政策法规科、信息科教科、兽医行政管理科、农田建设管理科</w:t>
      </w:r>
      <w:r>
        <w:rPr>
          <w:rFonts w:hint="eastAsia" w:ascii="仿宋" w:hAnsi="仿宋" w:eastAsia="仿宋"/>
          <w:bCs/>
          <w:kern w:val="0"/>
          <w:sz w:val="32"/>
          <w:szCs w:val="32"/>
          <w:highlight w:val="none"/>
          <w:lang w:val="en-US" w:eastAsia="zh-CN"/>
        </w:rPr>
        <w:t>；</w:t>
      </w:r>
      <w:r>
        <w:rPr>
          <w:rFonts w:hint="default" w:ascii="仿宋" w:hAnsi="仿宋" w:eastAsia="仿宋"/>
          <w:bCs/>
          <w:kern w:val="0"/>
          <w:sz w:val="32"/>
          <w:szCs w:val="32"/>
          <w:highlight w:val="none"/>
          <w:lang w:val="en-US" w:eastAsia="zh-CN"/>
        </w:rPr>
        <w:t>另设机关党委</w:t>
      </w:r>
      <w:r>
        <w:rPr>
          <w:rFonts w:hint="eastAsia" w:ascii="仿宋" w:hAnsi="仿宋" w:eastAsia="仿宋"/>
          <w:bCs/>
          <w:kern w:val="0"/>
          <w:sz w:val="32"/>
          <w:szCs w:val="32"/>
          <w:highlight w:val="none"/>
          <w:lang w:val="en-US" w:eastAsia="zh-CN"/>
        </w:rPr>
        <w:t>。</w:t>
      </w:r>
    </w:p>
    <w:p w14:paraId="7C20B306">
      <w:pPr>
        <w:pStyle w:val="12"/>
        <w:ind w:firstLine="627" w:firstLineChars="196"/>
        <w:rPr>
          <w:rFonts w:ascii="仿宋" w:hAnsi="仿宋" w:eastAsia="仿宋"/>
          <w:kern w:val="0"/>
          <w:szCs w:val="32"/>
          <w:highlight w:val="none"/>
        </w:rPr>
      </w:pPr>
      <w:r>
        <w:rPr>
          <w:rFonts w:hint="eastAsia" w:ascii="仿宋" w:hAnsi="仿宋" w:eastAsia="仿宋"/>
          <w:kern w:val="0"/>
          <w:szCs w:val="32"/>
          <w:highlight w:val="none"/>
        </w:rPr>
        <w:t>人员情况：在职人员</w:t>
      </w:r>
      <w:r>
        <w:rPr>
          <w:rFonts w:hint="eastAsia" w:ascii="仿宋" w:hAnsi="仿宋" w:eastAsia="仿宋"/>
          <w:kern w:val="0"/>
          <w:szCs w:val="32"/>
          <w:highlight w:val="none"/>
          <w:lang w:val="en-US" w:eastAsia="zh-CN"/>
        </w:rPr>
        <w:t>22</w:t>
      </w:r>
      <w:r>
        <w:rPr>
          <w:rFonts w:hint="eastAsia" w:ascii="仿宋" w:hAnsi="仿宋" w:eastAsia="仿宋"/>
          <w:kern w:val="0"/>
          <w:szCs w:val="32"/>
          <w:highlight w:val="none"/>
        </w:rPr>
        <w:t>人，编制数</w:t>
      </w:r>
      <w:r>
        <w:rPr>
          <w:rFonts w:hint="eastAsia" w:ascii="仿宋" w:hAnsi="仿宋" w:eastAsia="仿宋"/>
          <w:kern w:val="0"/>
          <w:szCs w:val="32"/>
          <w:highlight w:val="none"/>
          <w:lang w:val="en-US" w:eastAsia="zh-CN"/>
        </w:rPr>
        <w:t>22</w:t>
      </w:r>
      <w:r>
        <w:rPr>
          <w:rFonts w:hint="eastAsia" w:ascii="仿宋" w:hAnsi="仿宋" w:eastAsia="仿宋"/>
          <w:kern w:val="0"/>
          <w:szCs w:val="32"/>
          <w:highlight w:val="none"/>
        </w:rPr>
        <w:t>人，领导职数</w:t>
      </w:r>
      <w:r>
        <w:rPr>
          <w:rFonts w:hint="eastAsia" w:ascii="仿宋" w:hAnsi="仿宋" w:eastAsia="仿宋"/>
          <w:kern w:val="0"/>
          <w:szCs w:val="32"/>
          <w:highlight w:val="none"/>
          <w:lang w:val="en-US" w:eastAsia="zh-CN"/>
        </w:rPr>
        <w:t>4</w:t>
      </w:r>
      <w:r>
        <w:rPr>
          <w:rFonts w:hint="eastAsia" w:ascii="仿宋" w:hAnsi="仿宋" w:eastAsia="仿宋"/>
          <w:kern w:val="0"/>
          <w:szCs w:val="32"/>
          <w:highlight w:val="none"/>
        </w:rPr>
        <w:t>个。</w:t>
      </w:r>
    </w:p>
    <w:p w14:paraId="4CE1D32D">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21A6D010">
      <w:pPr>
        <w:jc w:val="left"/>
        <w:rPr>
          <w:rFonts w:ascii="仿宋" w:hAnsi="仿宋" w:eastAsia="仿宋"/>
          <w:sz w:val="32"/>
          <w:szCs w:val="32"/>
          <w:highlight w:val="none"/>
        </w:rPr>
      </w:pPr>
    </w:p>
    <w:p w14:paraId="577CA681">
      <w:pPr>
        <w:jc w:val="left"/>
        <w:rPr>
          <w:rFonts w:ascii="仿宋" w:hAnsi="仿宋" w:eastAsia="仿宋"/>
          <w:sz w:val="32"/>
          <w:szCs w:val="32"/>
          <w:highlight w:val="none"/>
        </w:rPr>
      </w:pPr>
    </w:p>
    <w:p w14:paraId="0138E8AF">
      <w:pPr>
        <w:jc w:val="left"/>
        <w:rPr>
          <w:rFonts w:ascii="仿宋" w:hAnsi="仿宋" w:eastAsia="仿宋"/>
          <w:sz w:val="32"/>
          <w:szCs w:val="32"/>
          <w:highlight w:val="none"/>
        </w:rPr>
      </w:pPr>
    </w:p>
    <w:p w14:paraId="42B67689">
      <w:pPr>
        <w:jc w:val="left"/>
        <w:rPr>
          <w:rFonts w:ascii="仿宋" w:hAnsi="仿宋" w:eastAsia="仿宋"/>
          <w:sz w:val="32"/>
          <w:szCs w:val="32"/>
          <w:highlight w:val="none"/>
        </w:rPr>
      </w:pPr>
    </w:p>
    <w:p w14:paraId="0E8A781F">
      <w:pPr>
        <w:jc w:val="left"/>
        <w:rPr>
          <w:rFonts w:ascii="仿宋" w:hAnsi="仿宋" w:eastAsia="仿宋"/>
          <w:sz w:val="32"/>
          <w:szCs w:val="32"/>
          <w:highlight w:val="none"/>
        </w:rPr>
      </w:pPr>
    </w:p>
    <w:p w14:paraId="47B965B7">
      <w:pPr>
        <w:jc w:val="left"/>
        <w:rPr>
          <w:rFonts w:ascii="仿宋" w:hAnsi="仿宋" w:eastAsia="仿宋"/>
          <w:sz w:val="32"/>
          <w:szCs w:val="32"/>
          <w:highlight w:val="none"/>
        </w:rPr>
      </w:pPr>
    </w:p>
    <w:p w14:paraId="4129F1ED">
      <w:pPr>
        <w:jc w:val="left"/>
        <w:rPr>
          <w:rFonts w:ascii="仿宋" w:hAnsi="仿宋" w:eastAsia="仿宋"/>
          <w:sz w:val="32"/>
          <w:szCs w:val="32"/>
          <w:highlight w:val="none"/>
        </w:rPr>
      </w:pPr>
    </w:p>
    <w:p w14:paraId="43FBBDE5">
      <w:pPr>
        <w:jc w:val="center"/>
        <w:rPr>
          <w:rFonts w:hint="eastAsia" w:ascii="黑体" w:hAnsi="黑体" w:eastAsia="黑体"/>
          <w:sz w:val="32"/>
          <w:szCs w:val="32"/>
          <w:highlight w:val="none"/>
        </w:rPr>
      </w:pPr>
    </w:p>
    <w:p w14:paraId="59F1376E">
      <w:pPr>
        <w:jc w:val="center"/>
        <w:rPr>
          <w:rFonts w:hint="eastAsia" w:ascii="黑体" w:hAnsi="黑体" w:eastAsia="黑体"/>
          <w:sz w:val="32"/>
          <w:szCs w:val="32"/>
          <w:highlight w:val="none"/>
        </w:rPr>
      </w:pPr>
    </w:p>
    <w:p w14:paraId="0C12EF69">
      <w:pPr>
        <w:jc w:val="center"/>
        <w:rPr>
          <w:rFonts w:hint="eastAsia" w:ascii="黑体" w:hAnsi="黑体" w:eastAsia="黑体"/>
          <w:sz w:val="32"/>
          <w:szCs w:val="32"/>
          <w:highlight w:val="none"/>
        </w:rPr>
      </w:pPr>
    </w:p>
    <w:p w14:paraId="37F520AB">
      <w:pPr>
        <w:jc w:val="center"/>
        <w:rPr>
          <w:rFonts w:hint="eastAsia" w:ascii="黑体" w:hAnsi="黑体" w:eastAsia="黑体"/>
          <w:sz w:val="32"/>
          <w:szCs w:val="32"/>
          <w:highlight w:val="none"/>
        </w:rPr>
      </w:pPr>
    </w:p>
    <w:p w14:paraId="63536268">
      <w:pPr>
        <w:jc w:val="center"/>
        <w:rPr>
          <w:rFonts w:hint="eastAsia" w:ascii="黑体" w:hAnsi="黑体" w:eastAsia="黑体"/>
          <w:sz w:val="32"/>
          <w:szCs w:val="32"/>
          <w:highlight w:val="none"/>
        </w:rPr>
      </w:pPr>
    </w:p>
    <w:p w14:paraId="7022D2BC">
      <w:pPr>
        <w:jc w:val="center"/>
        <w:rPr>
          <w:rFonts w:hint="eastAsia" w:ascii="黑体" w:hAnsi="黑体" w:eastAsia="黑体"/>
          <w:sz w:val="32"/>
          <w:szCs w:val="32"/>
          <w:highlight w:val="none"/>
        </w:rPr>
      </w:pPr>
    </w:p>
    <w:p w14:paraId="11B27569">
      <w:pPr>
        <w:jc w:val="center"/>
        <w:rPr>
          <w:rFonts w:hint="eastAsia" w:ascii="黑体" w:hAnsi="黑体" w:eastAsia="黑体"/>
          <w:sz w:val="32"/>
          <w:szCs w:val="32"/>
          <w:highlight w:val="none"/>
        </w:rPr>
      </w:pPr>
    </w:p>
    <w:p w14:paraId="2810A43A">
      <w:pPr>
        <w:jc w:val="center"/>
        <w:rPr>
          <w:rFonts w:hint="eastAsia" w:ascii="黑体" w:hAnsi="黑体" w:eastAsia="黑体"/>
          <w:sz w:val="32"/>
          <w:szCs w:val="32"/>
          <w:highlight w:val="none"/>
        </w:rPr>
      </w:pPr>
    </w:p>
    <w:p w14:paraId="04F1C989">
      <w:pPr>
        <w:jc w:val="center"/>
        <w:rPr>
          <w:rFonts w:hint="eastAsia" w:ascii="黑体" w:hAnsi="黑体" w:eastAsia="黑体"/>
          <w:sz w:val="32"/>
          <w:szCs w:val="32"/>
          <w:highlight w:val="none"/>
        </w:rPr>
      </w:pPr>
    </w:p>
    <w:p w14:paraId="703C067E">
      <w:pPr>
        <w:jc w:val="center"/>
        <w:rPr>
          <w:rFonts w:hint="eastAsia" w:ascii="黑体" w:hAnsi="黑体" w:eastAsia="黑体"/>
          <w:sz w:val="32"/>
          <w:szCs w:val="32"/>
          <w:highlight w:val="none"/>
        </w:rPr>
      </w:pPr>
    </w:p>
    <w:p w14:paraId="553674D5">
      <w:pPr>
        <w:jc w:val="center"/>
        <w:rPr>
          <w:rFonts w:ascii="黑体" w:hAnsi="黑体" w:eastAsia="黑体"/>
          <w:sz w:val="32"/>
          <w:szCs w:val="32"/>
          <w:highlight w:val="none"/>
        </w:rPr>
      </w:pPr>
      <w:r>
        <w:rPr>
          <w:rFonts w:hint="eastAsia" w:ascii="黑体" w:hAnsi="黑体" w:eastAsia="黑体"/>
          <w:sz w:val="32"/>
          <w:szCs w:val="32"/>
          <w:highlight w:val="none"/>
        </w:rPr>
        <w:t>第二部分  情况说明</w:t>
      </w:r>
    </w:p>
    <w:p w14:paraId="2B9DCC87">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42793039">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一、202</w:t>
      </w:r>
      <w:r>
        <w:rPr>
          <w:rFonts w:hint="eastAsia" w:ascii="楷体" w:hAnsi="楷体" w:eastAsia="楷体"/>
          <w:sz w:val="32"/>
          <w:szCs w:val="32"/>
          <w:highlight w:val="none"/>
          <w:lang w:val="en-US" w:eastAsia="zh-CN"/>
        </w:rPr>
        <w:t>5</w:t>
      </w:r>
      <w:r>
        <w:rPr>
          <w:rFonts w:hint="eastAsia" w:ascii="楷体" w:hAnsi="楷体" w:eastAsia="楷体"/>
          <w:sz w:val="32"/>
          <w:szCs w:val="32"/>
          <w:highlight w:val="none"/>
        </w:rPr>
        <w:t>年收支预算总体情况</w:t>
      </w:r>
    </w:p>
    <w:p w14:paraId="2A804ED6">
      <w:pPr>
        <w:pStyle w:val="11"/>
        <w:ind w:firstLine="640" w:firstLineChars="200"/>
        <w:jc w:val="left"/>
        <w:rPr>
          <w:rFonts w:ascii="仿宋" w:hAnsi="仿宋" w:eastAsia="仿宋"/>
          <w:sz w:val="32"/>
          <w:szCs w:val="32"/>
          <w:highlight w:val="none"/>
        </w:rPr>
      </w:pPr>
      <w:r>
        <w:rPr>
          <w:rFonts w:hint="eastAsia" w:ascii="仿宋" w:hAnsi="仿宋" w:eastAsia="仿宋"/>
          <w:sz w:val="32"/>
          <w:szCs w:val="32"/>
          <w:highlight w:val="none"/>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年收支总预算</w:t>
      </w:r>
      <w:r>
        <w:rPr>
          <w:rFonts w:hint="eastAsia" w:ascii="仿宋" w:hAnsi="仿宋" w:eastAsia="仿宋"/>
          <w:sz w:val="32"/>
          <w:szCs w:val="32"/>
          <w:highlight w:val="none"/>
          <w:lang w:val="en-US" w:eastAsia="zh-CN"/>
        </w:rPr>
        <w:t>364.06</w:t>
      </w:r>
      <w:r>
        <w:rPr>
          <w:rFonts w:hint="eastAsia" w:ascii="仿宋" w:hAnsi="仿宋" w:eastAsia="仿宋"/>
          <w:sz w:val="32"/>
          <w:szCs w:val="32"/>
          <w:highlight w:val="none"/>
        </w:rPr>
        <w:t>万元，比 202</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年预算数</w:t>
      </w:r>
      <w:r>
        <w:rPr>
          <w:rFonts w:hint="eastAsia" w:ascii="仿宋" w:hAnsi="仿宋" w:eastAsia="仿宋"/>
          <w:sz w:val="32"/>
          <w:szCs w:val="32"/>
          <w:highlight w:val="none"/>
          <w:lang w:val="en-US" w:eastAsia="zh-CN"/>
        </w:rPr>
        <w:t>427.13</w:t>
      </w:r>
      <w:r>
        <w:rPr>
          <w:rFonts w:hint="eastAsia" w:ascii="仿宋" w:hAnsi="仿宋" w:eastAsia="仿宋"/>
          <w:sz w:val="32"/>
          <w:szCs w:val="32"/>
          <w:highlight w:val="none"/>
        </w:rPr>
        <w:t>万元增减</w:t>
      </w:r>
      <w:r>
        <w:rPr>
          <w:rFonts w:hint="eastAsia" w:ascii="仿宋" w:hAnsi="仿宋" w:eastAsia="仿宋"/>
          <w:sz w:val="32"/>
          <w:szCs w:val="32"/>
          <w:highlight w:val="none"/>
          <w:lang w:val="en-US" w:eastAsia="zh-CN"/>
        </w:rPr>
        <w:t>63.07</w:t>
      </w:r>
      <w:r>
        <w:rPr>
          <w:rFonts w:hint="eastAsia" w:ascii="仿宋" w:hAnsi="仿宋" w:eastAsia="仿宋"/>
          <w:sz w:val="32"/>
          <w:szCs w:val="32"/>
          <w:highlight w:val="none"/>
        </w:rPr>
        <w:t>万元，主要原因：</w:t>
      </w:r>
      <w:r>
        <w:rPr>
          <w:rFonts w:hint="eastAsia" w:ascii="仿宋" w:hAnsi="仿宋" w:eastAsia="仿宋"/>
          <w:sz w:val="32"/>
          <w:szCs w:val="32"/>
          <w:highlight w:val="none"/>
          <w:lang w:eastAsia="zh-CN"/>
        </w:rPr>
        <w:t>缩减经费</w:t>
      </w:r>
      <w:r>
        <w:rPr>
          <w:rFonts w:hint="eastAsia" w:ascii="仿宋" w:hAnsi="仿宋" w:eastAsia="仿宋"/>
          <w:sz w:val="32"/>
          <w:szCs w:val="32"/>
          <w:highlight w:val="none"/>
        </w:rPr>
        <w:t>。</w:t>
      </w:r>
    </w:p>
    <w:p w14:paraId="275F862D">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二、202</w:t>
      </w:r>
      <w:r>
        <w:rPr>
          <w:rFonts w:hint="eastAsia" w:ascii="楷体" w:hAnsi="楷体" w:eastAsia="楷体"/>
          <w:sz w:val="32"/>
          <w:szCs w:val="32"/>
          <w:highlight w:val="none"/>
          <w:lang w:val="en-US" w:eastAsia="zh-CN"/>
        </w:rPr>
        <w:t>5</w:t>
      </w:r>
      <w:r>
        <w:rPr>
          <w:rFonts w:hint="eastAsia" w:ascii="楷体" w:hAnsi="楷体" w:eastAsia="楷体"/>
          <w:sz w:val="32"/>
          <w:szCs w:val="32"/>
          <w:highlight w:val="none"/>
        </w:rPr>
        <w:t>年收入预算情况</w:t>
      </w:r>
    </w:p>
    <w:p w14:paraId="503B47CF">
      <w:pPr>
        <w:pStyle w:val="11"/>
        <w:ind w:left="319" w:leftChars="152" w:firstLine="320" w:firstLineChars="100"/>
        <w:jc w:val="left"/>
        <w:rPr>
          <w:rFonts w:ascii="仿宋" w:hAnsi="仿宋" w:eastAsia="仿宋"/>
          <w:sz w:val="32"/>
          <w:szCs w:val="32"/>
          <w:highlight w:val="none"/>
        </w:rPr>
      </w:pP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年本单位收入预算</w:t>
      </w:r>
      <w:r>
        <w:rPr>
          <w:rFonts w:hint="eastAsia" w:ascii="仿宋" w:hAnsi="仿宋" w:eastAsia="仿宋"/>
          <w:sz w:val="32"/>
          <w:szCs w:val="32"/>
          <w:highlight w:val="none"/>
          <w:lang w:val="en-US" w:eastAsia="zh-CN"/>
        </w:rPr>
        <w:t>364.06</w:t>
      </w:r>
      <w:r>
        <w:rPr>
          <w:rFonts w:hint="eastAsia" w:ascii="仿宋" w:hAnsi="仿宋" w:eastAsia="仿宋"/>
          <w:sz w:val="32"/>
          <w:szCs w:val="32"/>
          <w:highlight w:val="none"/>
        </w:rPr>
        <w:t>万元，其中：一般公共预算收入</w:t>
      </w:r>
      <w:r>
        <w:rPr>
          <w:rFonts w:hint="eastAsia" w:ascii="仿宋" w:hAnsi="仿宋" w:eastAsia="仿宋"/>
          <w:sz w:val="32"/>
          <w:szCs w:val="32"/>
          <w:highlight w:val="none"/>
          <w:lang w:val="en-US" w:eastAsia="zh-CN"/>
        </w:rPr>
        <w:t>364.06</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100</w:t>
      </w:r>
      <w:r>
        <w:rPr>
          <w:rFonts w:hint="eastAsia" w:ascii="仿宋" w:hAnsi="仿宋" w:eastAsia="仿宋"/>
          <w:sz w:val="32"/>
          <w:szCs w:val="32"/>
          <w:highlight w:val="none"/>
        </w:rPr>
        <w:t>%；政府性基金收入</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w:t>
      </w:r>
    </w:p>
    <w:p w14:paraId="4C922CE8">
      <w:pPr>
        <w:pStyle w:val="11"/>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 xml:space="preserve"> 三、202</w:t>
      </w:r>
      <w:r>
        <w:rPr>
          <w:rFonts w:hint="eastAsia" w:ascii="楷体" w:hAnsi="楷体" w:eastAsia="楷体"/>
          <w:sz w:val="32"/>
          <w:szCs w:val="32"/>
          <w:highlight w:val="none"/>
          <w:lang w:val="en-US" w:eastAsia="zh-CN"/>
        </w:rPr>
        <w:t>5</w:t>
      </w:r>
      <w:r>
        <w:rPr>
          <w:rFonts w:hint="eastAsia" w:ascii="楷体" w:hAnsi="楷体" w:eastAsia="楷体"/>
          <w:sz w:val="32"/>
          <w:szCs w:val="32"/>
          <w:highlight w:val="none"/>
        </w:rPr>
        <w:t>年支出预算情况</w:t>
      </w:r>
    </w:p>
    <w:p w14:paraId="37AC8407">
      <w:pPr>
        <w:pStyle w:val="11"/>
        <w:ind w:firstLine="640" w:firstLineChars="200"/>
        <w:rPr>
          <w:rFonts w:ascii="仿宋" w:hAnsi="仿宋" w:eastAsia="仿宋"/>
          <w:sz w:val="32"/>
          <w:szCs w:val="32"/>
          <w:highlight w:val="none"/>
        </w:rPr>
      </w:pP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年支出预算</w:t>
      </w:r>
      <w:r>
        <w:rPr>
          <w:rFonts w:hint="eastAsia" w:ascii="仿宋" w:hAnsi="仿宋" w:eastAsia="仿宋"/>
          <w:sz w:val="32"/>
          <w:szCs w:val="32"/>
          <w:highlight w:val="none"/>
          <w:lang w:val="en-US" w:eastAsia="zh-CN"/>
        </w:rPr>
        <w:t>364.06</w:t>
      </w:r>
      <w:r>
        <w:rPr>
          <w:rFonts w:hint="eastAsia" w:ascii="仿宋" w:hAnsi="仿宋" w:eastAsia="仿宋"/>
          <w:sz w:val="32"/>
          <w:szCs w:val="32"/>
          <w:highlight w:val="none"/>
        </w:rPr>
        <w:t>万元，其中：基本支出</w:t>
      </w:r>
      <w:r>
        <w:rPr>
          <w:rFonts w:hint="eastAsia" w:ascii="仿宋" w:hAnsi="仿宋" w:eastAsia="仿宋"/>
          <w:sz w:val="32"/>
          <w:szCs w:val="32"/>
          <w:highlight w:val="none"/>
          <w:lang w:val="en-US" w:eastAsia="zh-CN"/>
        </w:rPr>
        <w:t>318.73</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87</w:t>
      </w:r>
      <w:r>
        <w:rPr>
          <w:rFonts w:hint="eastAsia" w:ascii="仿宋" w:hAnsi="仿宋" w:eastAsia="仿宋"/>
          <w:sz w:val="32"/>
          <w:szCs w:val="32"/>
          <w:highlight w:val="none"/>
        </w:rPr>
        <w:t>%；项目支出</w:t>
      </w:r>
      <w:r>
        <w:rPr>
          <w:rFonts w:hint="eastAsia" w:ascii="仿宋" w:hAnsi="仿宋" w:eastAsia="仿宋"/>
          <w:sz w:val="32"/>
          <w:szCs w:val="32"/>
          <w:highlight w:val="none"/>
          <w:lang w:val="en-US" w:eastAsia="zh-CN"/>
        </w:rPr>
        <w:t>45.33</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12</w:t>
      </w:r>
      <w:r>
        <w:rPr>
          <w:rFonts w:hint="eastAsia" w:ascii="仿宋" w:hAnsi="仿宋" w:eastAsia="仿宋"/>
          <w:sz w:val="32"/>
          <w:szCs w:val="32"/>
          <w:highlight w:val="none"/>
        </w:rPr>
        <w:t>%。</w:t>
      </w:r>
    </w:p>
    <w:p w14:paraId="7675E062">
      <w:pPr>
        <w:pStyle w:val="11"/>
        <w:ind w:firstLine="640" w:firstLineChars="200"/>
        <w:jc w:val="left"/>
        <w:rPr>
          <w:rFonts w:ascii="楷体" w:hAnsi="楷体" w:eastAsia="楷体"/>
          <w:sz w:val="32"/>
          <w:szCs w:val="32"/>
          <w:highlight w:val="none"/>
        </w:rPr>
      </w:pPr>
      <w:r>
        <w:rPr>
          <w:rFonts w:hint="eastAsia" w:ascii="楷体" w:hAnsi="楷体" w:eastAsia="楷体"/>
          <w:sz w:val="32"/>
          <w:szCs w:val="32"/>
          <w:highlight w:val="none"/>
        </w:rPr>
        <w:t>四、202</w:t>
      </w:r>
      <w:r>
        <w:rPr>
          <w:rFonts w:hint="eastAsia" w:ascii="楷体" w:hAnsi="楷体" w:eastAsia="楷体"/>
          <w:sz w:val="32"/>
          <w:szCs w:val="32"/>
          <w:highlight w:val="none"/>
          <w:lang w:val="en-US" w:eastAsia="zh-CN"/>
        </w:rPr>
        <w:t>5</w:t>
      </w:r>
      <w:r>
        <w:rPr>
          <w:rFonts w:hint="eastAsia" w:ascii="楷体" w:hAnsi="楷体" w:eastAsia="楷体"/>
          <w:sz w:val="32"/>
          <w:szCs w:val="32"/>
          <w:highlight w:val="none"/>
        </w:rPr>
        <w:t>年财政拨款收支预算情况</w:t>
      </w:r>
    </w:p>
    <w:p w14:paraId="7453ED92">
      <w:pPr>
        <w:pStyle w:val="11"/>
        <w:ind w:firstLine="640" w:firstLineChars="200"/>
        <w:rPr>
          <w:rFonts w:hint="eastAsia" w:ascii="仿宋" w:hAnsi="仿宋" w:eastAsia="仿宋"/>
          <w:sz w:val="32"/>
          <w:szCs w:val="32"/>
          <w:highlight w:val="none"/>
          <w:lang w:eastAsia="zh-CN"/>
        </w:rPr>
      </w:pP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年财政拨款收支总预算</w:t>
      </w:r>
      <w:r>
        <w:rPr>
          <w:rFonts w:hint="eastAsia" w:ascii="仿宋" w:hAnsi="仿宋" w:eastAsia="仿宋"/>
          <w:sz w:val="32"/>
          <w:szCs w:val="32"/>
          <w:highlight w:val="none"/>
          <w:lang w:val="en-US" w:eastAsia="zh-CN"/>
        </w:rPr>
        <w:t>364.06</w:t>
      </w:r>
      <w:r>
        <w:rPr>
          <w:rFonts w:hint="eastAsia" w:ascii="仿宋" w:hAnsi="仿宋" w:eastAsia="仿宋"/>
          <w:sz w:val="32"/>
          <w:szCs w:val="32"/>
          <w:highlight w:val="none"/>
        </w:rPr>
        <w:t>万元，其中：本年收入</w:t>
      </w:r>
      <w:r>
        <w:rPr>
          <w:rFonts w:hint="eastAsia" w:ascii="仿宋" w:hAnsi="仿宋" w:eastAsia="仿宋"/>
          <w:sz w:val="32"/>
          <w:szCs w:val="32"/>
          <w:highlight w:val="none"/>
          <w:lang w:val="en-US" w:eastAsia="zh-CN"/>
        </w:rPr>
        <w:t>364.06</w:t>
      </w:r>
      <w:r>
        <w:rPr>
          <w:rFonts w:hint="eastAsia" w:ascii="仿宋" w:hAnsi="仿宋" w:eastAsia="仿宋"/>
          <w:sz w:val="32"/>
          <w:szCs w:val="32"/>
          <w:highlight w:val="none"/>
        </w:rPr>
        <w:t>万元。本年支出</w:t>
      </w:r>
      <w:r>
        <w:rPr>
          <w:rFonts w:hint="eastAsia" w:ascii="仿宋" w:hAnsi="仿宋" w:eastAsia="仿宋"/>
          <w:sz w:val="32"/>
          <w:szCs w:val="32"/>
          <w:highlight w:val="none"/>
          <w:lang w:val="en-US" w:eastAsia="zh-CN"/>
        </w:rPr>
        <w:t>364.06</w:t>
      </w:r>
      <w:r>
        <w:rPr>
          <w:rFonts w:hint="eastAsia" w:ascii="仿宋" w:hAnsi="仿宋" w:eastAsia="仿宋"/>
          <w:sz w:val="32"/>
          <w:szCs w:val="32"/>
          <w:highlight w:val="none"/>
        </w:rPr>
        <w:t>万元，支出包括：一般公共服务支出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万元，社会保障和就业支出</w:t>
      </w:r>
      <w:r>
        <w:rPr>
          <w:rFonts w:hint="eastAsia" w:ascii="仿宋" w:hAnsi="仿宋" w:eastAsia="仿宋"/>
          <w:sz w:val="32"/>
          <w:szCs w:val="32"/>
          <w:highlight w:val="none"/>
          <w:lang w:val="en-US" w:eastAsia="zh-CN"/>
        </w:rPr>
        <w:t>25.56</w:t>
      </w:r>
      <w:r>
        <w:rPr>
          <w:rFonts w:hint="eastAsia" w:ascii="仿宋" w:hAnsi="仿宋" w:eastAsia="仿宋"/>
          <w:sz w:val="32"/>
          <w:szCs w:val="32"/>
          <w:highlight w:val="none"/>
        </w:rPr>
        <w:t>万元，卫生健康支出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万元，住房保障支出</w:t>
      </w:r>
      <w:r>
        <w:rPr>
          <w:rFonts w:hint="eastAsia" w:ascii="仿宋" w:hAnsi="仿宋" w:eastAsia="仿宋"/>
          <w:sz w:val="32"/>
          <w:szCs w:val="32"/>
          <w:highlight w:val="none"/>
          <w:lang w:val="en-US" w:eastAsia="zh-CN"/>
        </w:rPr>
        <w:t>20.52</w:t>
      </w:r>
      <w:r>
        <w:rPr>
          <w:rFonts w:hint="eastAsia" w:ascii="仿宋" w:hAnsi="仿宋" w:eastAsia="仿宋"/>
          <w:sz w:val="32"/>
          <w:szCs w:val="32"/>
          <w:highlight w:val="none"/>
        </w:rPr>
        <w:t>万元</w:t>
      </w:r>
      <w:r>
        <w:rPr>
          <w:rFonts w:hint="eastAsia" w:ascii="仿宋" w:hAnsi="仿宋" w:eastAsia="仿宋"/>
          <w:sz w:val="32"/>
          <w:szCs w:val="32"/>
          <w:highlight w:val="none"/>
          <w:lang w:eastAsia="zh-CN"/>
        </w:rPr>
        <w:t>，农林水支出</w:t>
      </w:r>
      <w:r>
        <w:rPr>
          <w:rFonts w:hint="eastAsia" w:ascii="仿宋" w:hAnsi="仿宋" w:eastAsia="仿宋"/>
          <w:sz w:val="32"/>
          <w:szCs w:val="32"/>
          <w:highlight w:val="none"/>
          <w:lang w:val="en-US" w:eastAsia="zh-CN"/>
        </w:rPr>
        <w:t>317.98</w:t>
      </w:r>
      <w:r>
        <w:rPr>
          <w:rFonts w:hint="eastAsia" w:ascii="仿宋" w:hAnsi="仿宋" w:eastAsia="仿宋"/>
          <w:sz w:val="32"/>
          <w:szCs w:val="32"/>
          <w:highlight w:val="none"/>
          <w:lang w:eastAsia="zh-CN"/>
        </w:rPr>
        <w:t>万元。</w:t>
      </w:r>
    </w:p>
    <w:p w14:paraId="4AFF9F05">
      <w:pPr>
        <w:pStyle w:val="11"/>
        <w:rPr>
          <w:rFonts w:ascii="楷体" w:hAnsi="楷体" w:eastAsia="楷体"/>
          <w:sz w:val="32"/>
          <w:szCs w:val="32"/>
          <w:highlight w:val="none"/>
        </w:rPr>
      </w:pPr>
      <w:r>
        <w:rPr>
          <w:rFonts w:hint="eastAsia" w:ascii="仿宋" w:hAnsi="仿宋" w:eastAsia="仿宋"/>
          <w:kern w:val="0"/>
          <w:sz w:val="32"/>
          <w:szCs w:val="32"/>
          <w:highlight w:val="none"/>
        </w:rPr>
        <w:t xml:space="preserve">    </w:t>
      </w:r>
      <w:r>
        <w:rPr>
          <w:rFonts w:hint="eastAsia" w:ascii="楷体" w:hAnsi="楷体" w:eastAsia="楷体" w:cs="楷体"/>
          <w:kern w:val="0"/>
          <w:sz w:val="32"/>
          <w:szCs w:val="32"/>
          <w:highlight w:val="none"/>
        </w:rPr>
        <w:t>五、202</w:t>
      </w:r>
      <w:r>
        <w:rPr>
          <w:rFonts w:hint="eastAsia" w:ascii="楷体" w:hAnsi="楷体" w:eastAsia="楷体" w:cs="楷体"/>
          <w:kern w:val="0"/>
          <w:sz w:val="32"/>
          <w:szCs w:val="32"/>
          <w:highlight w:val="none"/>
          <w:lang w:val="en-US" w:eastAsia="zh-CN"/>
        </w:rPr>
        <w:t>5</w:t>
      </w:r>
      <w:r>
        <w:rPr>
          <w:rFonts w:hint="eastAsia" w:ascii="楷体" w:hAnsi="楷体" w:eastAsia="楷体"/>
          <w:kern w:val="0"/>
          <w:sz w:val="32"/>
          <w:szCs w:val="32"/>
          <w:highlight w:val="none"/>
        </w:rPr>
        <w:t>年一般公共预算支出情况</w:t>
      </w:r>
    </w:p>
    <w:p w14:paraId="17BC3256">
      <w:pPr>
        <w:ind w:firstLine="640" w:firstLineChars="200"/>
        <w:rPr>
          <w:rFonts w:ascii="仿宋" w:hAnsi="仿宋" w:eastAsia="仿宋"/>
          <w:sz w:val="32"/>
          <w:szCs w:val="32"/>
          <w:highlight w:val="none"/>
        </w:rPr>
      </w:pP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年一般公共预算当年拨款</w:t>
      </w:r>
      <w:r>
        <w:rPr>
          <w:rFonts w:hint="eastAsia" w:ascii="仿宋" w:hAnsi="仿宋" w:eastAsia="仿宋"/>
          <w:sz w:val="32"/>
          <w:szCs w:val="32"/>
          <w:highlight w:val="none"/>
          <w:lang w:val="en-US" w:eastAsia="zh-CN"/>
        </w:rPr>
        <w:t>364.06</w:t>
      </w:r>
      <w:r>
        <w:rPr>
          <w:rFonts w:hint="eastAsia" w:ascii="仿宋" w:hAnsi="仿宋" w:eastAsia="仿宋"/>
          <w:sz w:val="32"/>
          <w:szCs w:val="32"/>
          <w:highlight w:val="none"/>
        </w:rPr>
        <w:t>万元，其中：基本支出</w:t>
      </w:r>
      <w:r>
        <w:rPr>
          <w:rFonts w:hint="eastAsia" w:ascii="仿宋" w:hAnsi="仿宋" w:eastAsia="仿宋"/>
          <w:sz w:val="32"/>
          <w:szCs w:val="32"/>
          <w:highlight w:val="none"/>
          <w:lang w:val="en-US" w:eastAsia="zh-CN"/>
        </w:rPr>
        <w:t>318.73</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87</w:t>
      </w:r>
      <w:r>
        <w:rPr>
          <w:rFonts w:hint="eastAsia" w:ascii="仿宋" w:hAnsi="仿宋" w:eastAsia="仿宋"/>
          <w:sz w:val="32"/>
          <w:szCs w:val="32"/>
          <w:highlight w:val="none"/>
        </w:rPr>
        <w:t>%；项目支出</w:t>
      </w:r>
      <w:r>
        <w:rPr>
          <w:rFonts w:hint="eastAsia" w:ascii="仿宋" w:hAnsi="仿宋" w:eastAsia="仿宋"/>
          <w:sz w:val="32"/>
          <w:szCs w:val="32"/>
          <w:highlight w:val="none"/>
          <w:lang w:val="en-US" w:eastAsia="zh-CN"/>
        </w:rPr>
        <w:t>45.33</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12</w:t>
      </w:r>
      <w:r>
        <w:rPr>
          <w:rFonts w:hint="eastAsia" w:ascii="仿宋" w:hAnsi="仿宋" w:eastAsia="仿宋"/>
          <w:sz w:val="32"/>
          <w:szCs w:val="32"/>
          <w:highlight w:val="none"/>
        </w:rPr>
        <w:t>%。基本支出中，人员经费</w:t>
      </w:r>
      <w:r>
        <w:rPr>
          <w:rFonts w:hint="eastAsia" w:ascii="仿宋" w:hAnsi="仿宋" w:eastAsia="仿宋"/>
          <w:sz w:val="32"/>
          <w:szCs w:val="32"/>
          <w:highlight w:val="none"/>
          <w:lang w:val="en-US" w:eastAsia="zh-CN"/>
        </w:rPr>
        <w:t>243.23</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76</w:t>
      </w: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75.5</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24</w:t>
      </w:r>
      <w:r>
        <w:rPr>
          <w:rFonts w:hint="eastAsia" w:ascii="仿宋" w:hAnsi="仿宋" w:eastAsia="仿宋"/>
          <w:sz w:val="32"/>
          <w:szCs w:val="32"/>
          <w:highlight w:val="none"/>
        </w:rPr>
        <w:t>%。</w:t>
      </w:r>
    </w:p>
    <w:p w14:paraId="52C08E43">
      <w:pPr>
        <w:ind w:firstLine="640" w:firstLineChars="200"/>
        <w:rPr>
          <w:rFonts w:ascii="仿宋" w:hAnsi="仿宋" w:eastAsia="仿宋"/>
          <w:sz w:val="32"/>
          <w:szCs w:val="32"/>
          <w:highlight w:val="none"/>
        </w:rPr>
      </w:pPr>
      <w:r>
        <w:rPr>
          <w:rFonts w:hint="eastAsia" w:ascii="仿宋" w:hAnsi="仿宋" w:eastAsia="仿宋"/>
          <w:sz w:val="32"/>
          <w:szCs w:val="32"/>
          <w:highlight w:val="none"/>
        </w:rPr>
        <w:t>一般公共服务（类）支出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w:t>
      </w:r>
    </w:p>
    <w:p w14:paraId="30F92D89">
      <w:pPr>
        <w:ind w:firstLine="640" w:firstLineChars="200"/>
        <w:rPr>
          <w:rFonts w:ascii="仿宋" w:hAnsi="仿宋" w:eastAsia="仿宋"/>
          <w:sz w:val="32"/>
          <w:szCs w:val="32"/>
          <w:highlight w:val="none"/>
        </w:rPr>
      </w:pPr>
      <w:r>
        <w:rPr>
          <w:rFonts w:hint="eastAsia" w:ascii="仿宋" w:hAnsi="仿宋" w:eastAsia="仿宋"/>
          <w:sz w:val="32"/>
          <w:szCs w:val="32"/>
          <w:highlight w:val="none"/>
        </w:rPr>
        <w:t>社会保障和就业（类）支出</w:t>
      </w:r>
      <w:r>
        <w:rPr>
          <w:rFonts w:hint="eastAsia" w:ascii="仿宋" w:hAnsi="仿宋" w:eastAsia="仿宋"/>
          <w:sz w:val="32"/>
          <w:szCs w:val="32"/>
          <w:highlight w:val="none"/>
          <w:lang w:val="en-US" w:eastAsia="zh-CN"/>
        </w:rPr>
        <w:t>25.56</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7</w:t>
      </w:r>
      <w:r>
        <w:rPr>
          <w:rFonts w:hint="eastAsia" w:ascii="仿宋" w:hAnsi="仿宋" w:eastAsia="仿宋"/>
          <w:sz w:val="32"/>
          <w:szCs w:val="32"/>
          <w:highlight w:val="none"/>
        </w:rPr>
        <w:t>%，主要用于：</w:t>
      </w:r>
      <w:r>
        <w:rPr>
          <w:rFonts w:hint="eastAsia" w:ascii="仿宋" w:hAnsi="仿宋" w:eastAsia="仿宋"/>
          <w:sz w:val="32"/>
          <w:szCs w:val="32"/>
          <w:highlight w:val="none"/>
          <w:lang w:eastAsia="zh-CN"/>
        </w:rPr>
        <w:t>在职人员保险</w:t>
      </w:r>
      <w:r>
        <w:rPr>
          <w:rFonts w:hint="eastAsia" w:ascii="仿宋" w:hAnsi="仿宋" w:eastAsia="仿宋"/>
          <w:sz w:val="32"/>
          <w:szCs w:val="32"/>
          <w:highlight w:val="none"/>
        </w:rPr>
        <w:t>。</w:t>
      </w:r>
    </w:p>
    <w:p w14:paraId="7AB972B7">
      <w:pPr>
        <w:ind w:firstLine="640" w:firstLineChars="200"/>
        <w:rPr>
          <w:rFonts w:ascii="仿宋" w:hAnsi="仿宋" w:eastAsia="仿宋"/>
          <w:sz w:val="32"/>
          <w:szCs w:val="32"/>
          <w:highlight w:val="none"/>
        </w:rPr>
      </w:pPr>
      <w:r>
        <w:rPr>
          <w:rFonts w:hint="eastAsia" w:ascii="仿宋" w:hAnsi="仿宋" w:eastAsia="仿宋"/>
          <w:sz w:val="32"/>
          <w:szCs w:val="32"/>
          <w:highlight w:val="none"/>
        </w:rPr>
        <w:t>卫生健康（类）支出</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w:t>
      </w:r>
    </w:p>
    <w:p w14:paraId="1177F03A">
      <w:pPr>
        <w:ind w:firstLine="640" w:firstLineChars="200"/>
        <w:rPr>
          <w:rFonts w:ascii="仿宋" w:hAnsi="仿宋" w:eastAsia="仿宋"/>
          <w:sz w:val="32"/>
          <w:szCs w:val="32"/>
          <w:highlight w:val="none"/>
        </w:rPr>
      </w:pPr>
      <w:r>
        <w:rPr>
          <w:rFonts w:hint="eastAsia" w:ascii="仿宋" w:hAnsi="仿宋" w:eastAsia="仿宋"/>
          <w:sz w:val="32"/>
          <w:szCs w:val="32"/>
          <w:highlight w:val="none"/>
        </w:rPr>
        <w:t>住房保障（类）支出</w:t>
      </w:r>
      <w:r>
        <w:rPr>
          <w:rFonts w:hint="eastAsia" w:ascii="仿宋" w:hAnsi="仿宋" w:eastAsia="仿宋"/>
          <w:sz w:val="32"/>
          <w:szCs w:val="32"/>
          <w:highlight w:val="none"/>
          <w:lang w:val="en-US" w:eastAsia="zh-CN"/>
        </w:rPr>
        <w:t>20.52</w:t>
      </w:r>
      <w:r>
        <w:rPr>
          <w:rFonts w:hint="eastAsia" w:ascii="仿宋" w:hAnsi="仿宋" w:eastAsia="仿宋"/>
          <w:sz w:val="32"/>
          <w:szCs w:val="32"/>
          <w:highlight w:val="none"/>
        </w:rPr>
        <w:t>万元，占</w:t>
      </w:r>
      <w:r>
        <w:rPr>
          <w:rFonts w:hint="eastAsia" w:ascii="仿宋" w:hAnsi="仿宋" w:eastAsia="仿宋"/>
          <w:sz w:val="32"/>
          <w:szCs w:val="32"/>
          <w:highlight w:val="none"/>
          <w:lang w:val="en-US" w:eastAsia="zh-CN"/>
        </w:rPr>
        <w:t>6</w:t>
      </w:r>
      <w:r>
        <w:rPr>
          <w:rFonts w:hint="eastAsia" w:ascii="仿宋" w:hAnsi="仿宋" w:eastAsia="仿宋"/>
          <w:sz w:val="32"/>
          <w:szCs w:val="32"/>
          <w:highlight w:val="none"/>
        </w:rPr>
        <w:t>%，主要用于：</w:t>
      </w:r>
      <w:r>
        <w:rPr>
          <w:rFonts w:hint="eastAsia" w:ascii="仿宋" w:hAnsi="仿宋" w:eastAsia="仿宋"/>
          <w:sz w:val="32"/>
          <w:szCs w:val="32"/>
          <w:highlight w:val="none"/>
          <w:lang w:eastAsia="zh-CN"/>
        </w:rPr>
        <w:t>在职人员公积金</w:t>
      </w:r>
      <w:r>
        <w:rPr>
          <w:rFonts w:hint="eastAsia" w:ascii="仿宋" w:hAnsi="仿宋" w:eastAsia="仿宋"/>
          <w:sz w:val="32"/>
          <w:szCs w:val="32"/>
          <w:highlight w:val="none"/>
        </w:rPr>
        <w:t>。</w:t>
      </w:r>
    </w:p>
    <w:p w14:paraId="4576C2A1">
      <w:pPr>
        <w:pStyle w:val="9"/>
        <w:ind w:firstLine="640" w:firstLineChars="200"/>
        <w:rPr>
          <w:rFonts w:hint="default" w:ascii="仿宋" w:hAnsi="仿宋" w:eastAsia="仿宋"/>
          <w:kern w:val="0"/>
          <w:sz w:val="32"/>
          <w:szCs w:val="32"/>
          <w:highlight w:val="none"/>
          <w:lang w:val="en-US" w:eastAsia="zh-CN"/>
        </w:rPr>
      </w:pPr>
      <w:r>
        <w:rPr>
          <w:rFonts w:hint="eastAsia" w:ascii="仿宋" w:hAnsi="仿宋" w:eastAsia="仿宋"/>
          <w:sz w:val="32"/>
          <w:szCs w:val="32"/>
          <w:highlight w:val="none"/>
          <w:lang w:eastAsia="zh-CN"/>
        </w:rPr>
        <w:t>农林水支出（类）支出</w:t>
      </w:r>
      <w:r>
        <w:rPr>
          <w:rFonts w:hint="eastAsia" w:ascii="仿宋" w:hAnsi="仿宋" w:eastAsia="仿宋"/>
          <w:sz w:val="32"/>
          <w:szCs w:val="32"/>
          <w:highlight w:val="none"/>
          <w:lang w:val="en-US" w:eastAsia="zh-CN"/>
        </w:rPr>
        <w:t>317.98</w:t>
      </w:r>
      <w:r>
        <w:rPr>
          <w:rFonts w:hint="eastAsia" w:ascii="仿宋" w:hAnsi="仿宋" w:eastAsia="仿宋"/>
          <w:kern w:val="0"/>
          <w:sz w:val="32"/>
          <w:szCs w:val="32"/>
          <w:highlight w:val="none"/>
          <w:lang w:eastAsia="zh-CN"/>
        </w:rPr>
        <w:t>万元，占</w:t>
      </w:r>
      <w:r>
        <w:rPr>
          <w:rFonts w:hint="eastAsia" w:ascii="仿宋" w:hAnsi="仿宋" w:eastAsia="仿宋"/>
          <w:kern w:val="0"/>
          <w:sz w:val="32"/>
          <w:szCs w:val="32"/>
          <w:highlight w:val="none"/>
          <w:lang w:val="en-US" w:eastAsia="zh-CN"/>
        </w:rPr>
        <w:t>87%，主要用于：业务支出。</w:t>
      </w:r>
    </w:p>
    <w:p w14:paraId="378C6183">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rPr>
        <w:t>六、202</w:t>
      </w:r>
      <w:r>
        <w:rPr>
          <w:rFonts w:hint="eastAsia" w:ascii="楷体" w:hAnsi="楷体" w:eastAsia="楷体"/>
          <w:kern w:val="0"/>
          <w:sz w:val="32"/>
          <w:szCs w:val="32"/>
          <w:highlight w:val="none"/>
          <w:lang w:val="en-US" w:eastAsia="zh-CN"/>
        </w:rPr>
        <w:t>5</w:t>
      </w:r>
      <w:r>
        <w:rPr>
          <w:rFonts w:hint="eastAsia" w:ascii="楷体" w:hAnsi="楷体" w:eastAsia="楷体"/>
          <w:kern w:val="0"/>
          <w:sz w:val="32"/>
          <w:szCs w:val="32"/>
          <w:highlight w:val="none"/>
        </w:rPr>
        <w:t>年一般公共预算基本支出情况</w:t>
      </w:r>
    </w:p>
    <w:p w14:paraId="539D2F75">
      <w:pPr>
        <w:ind w:firstLine="640" w:firstLineChars="200"/>
        <w:rPr>
          <w:rFonts w:ascii="仿宋" w:hAnsi="仿宋" w:eastAsia="仿宋"/>
          <w:sz w:val="32"/>
          <w:szCs w:val="32"/>
          <w:highlight w:val="none"/>
        </w:rPr>
      </w:pP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年一般公共预算基本支出</w:t>
      </w:r>
      <w:r>
        <w:rPr>
          <w:rFonts w:hint="eastAsia" w:ascii="仿宋" w:hAnsi="仿宋" w:eastAsia="仿宋"/>
          <w:sz w:val="32"/>
          <w:szCs w:val="32"/>
          <w:highlight w:val="none"/>
          <w:lang w:val="en-US" w:eastAsia="zh-CN"/>
        </w:rPr>
        <w:t>318.73</w:t>
      </w:r>
      <w:r>
        <w:rPr>
          <w:rFonts w:hint="eastAsia" w:ascii="仿宋" w:hAnsi="仿宋" w:eastAsia="仿宋"/>
          <w:sz w:val="32"/>
          <w:szCs w:val="32"/>
          <w:highlight w:val="none"/>
        </w:rPr>
        <w:t>万元，其中：</w:t>
      </w:r>
    </w:p>
    <w:p w14:paraId="69891728">
      <w:pPr>
        <w:ind w:firstLine="640" w:firstLineChars="200"/>
        <w:rPr>
          <w:rFonts w:ascii="仿宋" w:hAnsi="仿宋" w:eastAsia="仿宋"/>
          <w:sz w:val="32"/>
          <w:szCs w:val="32"/>
          <w:highlight w:val="none"/>
        </w:rPr>
      </w:pPr>
      <w:r>
        <w:rPr>
          <w:rFonts w:hint="eastAsia" w:ascii="仿宋" w:hAnsi="仿宋" w:eastAsia="仿宋"/>
          <w:sz w:val="32"/>
          <w:szCs w:val="32"/>
          <w:highlight w:val="none"/>
        </w:rPr>
        <w:t>人员经费</w:t>
      </w:r>
      <w:r>
        <w:rPr>
          <w:rFonts w:hint="eastAsia" w:ascii="仿宋" w:hAnsi="仿宋" w:eastAsia="仿宋"/>
          <w:sz w:val="32"/>
          <w:szCs w:val="32"/>
          <w:highlight w:val="none"/>
          <w:lang w:val="en-US" w:eastAsia="zh-CN"/>
        </w:rPr>
        <w:t>243.23</w:t>
      </w:r>
      <w:r>
        <w:rPr>
          <w:rFonts w:hint="eastAsia" w:ascii="仿宋" w:hAnsi="仿宋" w:eastAsia="仿宋"/>
          <w:sz w:val="32"/>
          <w:szCs w:val="32"/>
          <w:highlight w:val="none"/>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638E9C0F">
      <w:pPr>
        <w:pStyle w:val="9"/>
        <w:ind w:firstLine="627" w:firstLineChars="196"/>
        <w:rPr>
          <w:rFonts w:ascii="仿宋" w:hAnsi="仿宋" w:eastAsia="仿宋"/>
          <w:kern w:val="0"/>
          <w:sz w:val="32"/>
          <w:szCs w:val="32"/>
          <w:highlight w:val="none"/>
        </w:rPr>
      </w:pPr>
      <w:r>
        <w:rPr>
          <w:rFonts w:hint="eastAsia" w:ascii="仿宋" w:hAnsi="仿宋" w:eastAsia="仿宋"/>
          <w:sz w:val="32"/>
          <w:szCs w:val="32"/>
          <w:highlight w:val="none"/>
        </w:rPr>
        <w:t>公用经费</w:t>
      </w:r>
      <w:r>
        <w:rPr>
          <w:rFonts w:hint="eastAsia" w:ascii="仿宋" w:hAnsi="仿宋" w:eastAsia="仿宋"/>
          <w:sz w:val="32"/>
          <w:szCs w:val="32"/>
          <w:highlight w:val="none"/>
          <w:lang w:val="en-US" w:eastAsia="zh-CN"/>
        </w:rPr>
        <w:t>75.5</w:t>
      </w:r>
      <w:r>
        <w:rPr>
          <w:rFonts w:hint="eastAsia" w:ascii="仿宋" w:hAnsi="仿宋" w:eastAsia="仿宋"/>
          <w:sz w:val="32"/>
          <w:szCs w:val="32"/>
          <w:highlight w:val="none"/>
        </w:rPr>
        <w:t>万元，主要包括：办公费、印刷费、水费、电费、邮电费、取暖费、差旅费、会议费、公务接待费、工会经费、公务用车运行维护费等。</w:t>
      </w:r>
    </w:p>
    <w:p w14:paraId="570E5112">
      <w:pPr>
        <w:pStyle w:val="9"/>
        <w:ind w:firstLine="640" w:firstLineChars="200"/>
        <w:rPr>
          <w:rFonts w:ascii="楷体" w:hAnsi="楷体" w:eastAsia="楷体"/>
          <w:kern w:val="0"/>
          <w:sz w:val="32"/>
          <w:szCs w:val="32"/>
          <w:highlight w:val="none"/>
        </w:rPr>
      </w:pPr>
      <w:r>
        <w:rPr>
          <w:rFonts w:hint="eastAsia" w:ascii="楷体" w:hAnsi="楷体" w:eastAsia="楷体"/>
          <w:kern w:val="0"/>
          <w:sz w:val="32"/>
          <w:szCs w:val="32"/>
          <w:highlight w:val="none"/>
        </w:rPr>
        <w:t>七、202</w:t>
      </w:r>
      <w:r>
        <w:rPr>
          <w:rFonts w:hint="eastAsia" w:ascii="楷体" w:hAnsi="楷体" w:eastAsia="楷体"/>
          <w:kern w:val="0"/>
          <w:sz w:val="32"/>
          <w:szCs w:val="32"/>
          <w:highlight w:val="none"/>
          <w:lang w:val="en-US" w:eastAsia="zh-CN"/>
        </w:rPr>
        <w:t>5</w:t>
      </w:r>
      <w:r>
        <w:rPr>
          <w:rFonts w:hint="eastAsia" w:ascii="楷体" w:hAnsi="楷体" w:eastAsia="楷体"/>
          <w:kern w:val="0"/>
          <w:sz w:val="32"/>
          <w:szCs w:val="32"/>
          <w:highlight w:val="none"/>
        </w:rPr>
        <w:t>年一般公共预算财政拨款“三公经费”情况</w:t>
      </w:r>
    </w:p>
    <w:p w14:paraId="1C284AD4">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202</w:t>
      </w:r>
      <w:r>
        <w:rPr>
          <w:rFonts w:hint="eastAsia" w:ascii="仿宋" w:hAnsi="仿宋" w:eastAsia="仿宋"/>
          <w:kern w:val="0"/>
          <w:sz w:val="32"/>
          <w:szCs w:val="32"/>
          <w:highlight w:val="none"/>
          <w:lang w:val="en-US" w:eastAsia="zh-CN"/>
        </w:rPr>
        <w:t>5</w:t>
      </w:r>
      <w:r>
        <w:rPr>
          <w:rFonts w:hint="eastAsia" w:ascii="仿宋" w:hAnsi="仿宋" w:eastAsia="仿宋"/>
          <w:kern w:val="0"/>
          <w:sz w:val="32"/>
          <w:szCs w:val="32"/>
          <w:highlight w:val="none"/>
        </w:rPr>
        <w:t>年“三公”经费预算数</w:t>
      </w:r>
      <w:r>
        <w:rPr>
          <w:rFonts w:hint="eastAsia" w:ascii="仿宋" w:hAnsi="仿宋" w:eastAsia="仿宋"/>
          <w:kern w:val="0"/>
          <w:sz w:val="32"/>
          <w:szCs w:val="32"/>
          <w:highlight w:val="none"/>
          <w:lang w:val="en-US" w:eastAsia="zh-CN"/>
        </w:rPr>
        <w:t>19.43</w:t>
      </w:r>
      <w:r>
        <w:rPr>
          <w:rFonts w:hint="eastAsia" w:ascii="仿宋" w:hAnsi="仿宋" w:eastAsia="仿宋"/>
          <w:kern w:val="0"/>
          <w:sz w:val="32"/>
          <w:szCs w:val="32"/>
          <w:highlight w:val="none"/>
        </w:rPr>
        <w:t>万元，比202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年预算减少</w:t>
      </w:r>
      <w:r>
        <w:rPr>
          <w:rFonts w:hint="eastAsia" w:ascii="仿宋" w:hAnsi="仿宋" w:eastAsia="仿宋"/>
          <w:kern w:val="0"/>
          <w:sz w:val="32"/>
          <w:szCs w:val="32"/>
          <w:highlight w:val="none"/>
          <w:lang w:val="en-US" w:eastAsia="zh-CN"/>
        </w:rPr>
        <w:t>0.38</w:t>
      </w:r>
      <w:r>
        <w:rPr>
          <w:rFonts w:hint="eastAsia" w:ascii="仿宋" w:hAnsi="仿宋" w:eastAsia="仿宋"/>
          <w:kern w:val="0"/>
          <w:sz w:val="32"/>
          <w:szCs w:val="32"/>
          <w:highlight w:val="none"/>
        </w:rPr>
        <w:t>万元。其中：</w:t>
      </w:r>
    </w:p>
    <w:p w14:paraId="5A58F12D">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1.因公出国（境）费 0 万元，与 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年预算数相同。</w:t>
      </w:r>
    </w:p>
    <w:p w14:paraId="302E9754">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2.公务接待费</w:t>
      </w:r>
      <w:r>
        <w:rPr>
          <w:rFonts w:hint="eastAsia" w:ascii="仿宋" w:hAnsi="仿宋" w:eastAsia="仿宋"/>
          <w:kern w:val="0"/>
          <w:sz w:val="32"/>
          <w:szCs w:val="32"/>
          <w:highlight w:val="none"/>
          <w:lang w:val="en-US" w:eastAsia="zh-CN"/>
        </w:rPr>
        <w:t>3.43</w:t>
      </w:r>
      <w:r>
        <w:rPr>
          <w:rFonts w:hint="eastAsia" w:ascii="仿宋" w:hAnsi="仿宋" w:eastAsia="仿宋"/>
          <w:kern w:val="0"/>
          <w:sz w:val="32"/>
          <w:szCs w:val="32"/>
          <w:highlight w:val="none"/>
        </w:rPr>
        <w:t>万元，比 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 xml:space="preserve"> 年预算数减少</w:t>
      </w:r>
      <w:r>
        <w:rPr>
          <w:rFonts w:hint="eastAsia" w:ascii="仿宋" w:hAnsi="仿宋" w:eastAsia="仿宋"/>
          <w:kern w:val="0"/>
          <w:sz w:val="32"/>
          <w:szCs w:val="32"/>
          <w:highlight w:val="none"/>
          <w:lang w:val="en-US" w:eastAsia="zh-CN"/>
        </w:rPr>
        <w:t>0.38</w:t>
      </w:r>
      <w:r>
        <w:rPr>
          <w:rFonts w:hint="eastAsia" w:ascii="仿宋" w:hAnsi="仿宋" w:eastAsia="仿宋"/>
          <w:kern w:val="0"/>
          <w:sz w:val="32"/>
          <w:szCs w:val="32"/>
          <w:highlight w:val="none"/>
        </w:rPr>
        <w:t>万元，主要原因是</w:t>
      </w:r>
      <w:r>
        <w:rPr>
          <w:rFonts w:hint="eastAsia" w:ascii="仿宋" w:hAnsi="仿宋" w:eastAsia="仿宋"/>
          <w:kern w:val="0"/>
          <w:sz w:val="32"/>
          <w:szCs w:val="32"/>
          <w:highlight w:val="none"/>
          <w:lang w:eastAsia="zh-CN"/>
        </w:rPr>
        <w:t>依照财政要求每年缩减</w:t>
      </w:r>
      <w:r>
        <w:rPr>
          <w:rFonts w:hint="eastAsia" w:ascii="仿宋" w:hAnsi="仿宋" w:eastAsia="仿宋"/>
          <w:kern w:val="0"/>
          <w:sz w:val="32"/>
          <w:szCs w:val="32"/>
          <w:highlight w:val="none"/>
          <w:lang w:val="en-US" w:eastAsia="zh-CN"/>
        </w:rPr>
        <w:t>10%</w:t>
      </w:r>
      <w:r>
        <w:rPr>
          <w:rFonts w:hint="eastAsia" w:ascii="仿宋" w:hAnsi="仿宋" w:eastAsia="仿宋"/>
          <w:kern w:val="0"/>
          <w:sz w:val="32"/>
          <w:szCs w:val="32"/>
          <w:highlight w:val="none"/>
        </w:rPr>
        <w:t>。</w:t>
      </w:r>
    </w:p>
    <w:p w14:paraId="6C60B129">
      <w:pPr>
        <w:pStyle w:val="9"/>
        <w:ind w:firstLine="627" w:firstLineChars="196"/>
        <w:rPr>
          <w:rFonts w:ascii="仿宋" w:hAnsi="仿宋" w:eastAsia="仿宋"/>
          <w:kern w:val="0"/>
          <w:sz w:val="32"/>
          <w:szCs w:val="32"/>
          <w:highlight w:val="none"/>
        </w:rPr>
      </w:pPr>
      <w:r>
        <w:rPr>
          <w:rFonts w:hint="eastAsia" w:ascii="仿宋" w:hAnsi="仿宋" w:eastAsia="仿宋"/>
          <w:kern w:val="0"/>
          <w:sz w:val="32"/>
          <w:szCs w:val="32"/>
          <w:highlight w:val="none"/>
        </w:rPr>
        <w:t>3.公务用车购置及运行费16万元，比 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 xml:space="preserve"> 年预算数减</w:t>
      </w:r>
    </w:p>
    <w:p w14:paraId="6734AE3C">
      <w:pPr>
        <w:pStyle w:val="9"/>
        <w:rPr>
          <w:rFonts w:ascii="仿宋" w:hAnsi="仿宋" w:eastAsia="仿宋"/>
          <w:kern w:val="0"/>
          <w:sz w:val="32"/>
          <w:szCs w:val="32"/>
          <w:highlight w:val="none"/>
        </w:rPr>
      </w:pPr>
      <w:r>
        <w:rPr>
          <w:rFonts w:hint="eastAsia" w:ascii="仿宋" w:hAnsi="仿宋" w:eastAsia="仿宋"/>
          <w:kern w:val="0"/>
          <w:sz w:val="32"/>
          <w:szCs w:val="32"/>
          <w:highlight w:val="none"/>
        </w:rPr>
        <w:t>少</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万元。其中，公务用车运行维护费16万元，比 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年减少</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万元，主要原因是</w:t>
      </w:r>
      <w:r>
        <w:rPr>
          <w:rFonts w:hint="eastAsia" w:ascii="仿宋" w:hAnsi="仿宋" w:eastAsia="仿宋"/>
          <w:kern w:val="0"/>
          <w:sz w:val="32"/>
          <w:szCs w:val="32"/>
          <w:highlight w:val="none"/>
          <w:lang w:eastAsia="zh-CN"/>
        </w:rPr>
        <w:t>车辆固定支出</w:t>
      </w:r>
      <w:r>
        <w:rPr>
          <w:rFonts w:hint="eastAsia" w:ascii="仿宋" w:hAnsi="仿宋" w:eastAsia="仿宋"/>
          <w:kern w:val="0"/>
          <w:sz w:val="32"/>
          <w:szCs w:val="32"/>
          <w:highlight w:val="none"/>
        </w:rPr>
        <w:t>，公务用车购置</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万元，比202</w:t>
      </w:r>
      <w:r>
        <w:rPr>
          <w:rFonts w:hint="eastAsia" w:ascii="仿宋" w:hAnsi="仿宋" w:eastAsia="仿宋"/>
          <w:kern w:val="0"/>
          <w:sz w:val="32"/>
          <w:szCs w:val="32"/>
          <w:highlight w:val="none"/>
          <w:lang w:val="en-US" w:eastAsia="zh-CN"/>
        </w:rPr>
        <w:t>4</w:t>
      </w:r>
      <w:r>
        <w:rPr>
          <w:rFonts w:hint="eastAsia" w:ascii="仿宋" w:hAnsi="仿宋" w:eastAsia="仿宋"/>
          <w:kern w:val="0"/>
          <w:sz w:val="32"/>
          <w:szCs w:val="32"/>
          <w:highlight w:val="none"/>
        </w:rPr>
        <w:t>年减少</w:t>
      </w:r>
      <w:r>
        <w:rPr>
          <w:rFonts w:hint="eastAsia" w:ascii="仿宋" w:hAnsi="仿宋" w:eastAsia="仿宋"/>
          <w:kern w:val="0"/>
          <w:sz w:val="32"/>
          <w:szCs w:val="32"/>
          <w:highlight w:val="none"/>
          <w:lang w:val="en-US" w:eastAsia="zh-CN"/>
        </w:rPr>
        <w:t>0</w:t>
      </w:r>
      <w:r>
        <w:rPr>
          <w:rFonts w:hint="eastAsia" w:ascii="仿宋" w:hAnsi="仿宋" w:eastAsia="仿宋"/>
          <w:kern w:val="0"/>
          <w:sz w:val="32"/>
          <w:szCs w:val="32"/>
          <w:highlight w:val="none"/>
        </w:rPr>
        <w:t>万元。</w:t>
      </w:r>
    </w:p>
    <w:p w14:paraId="402E8F1E">
      <w:pPr>
        <w:pStyle w:val="9"/>
        <w:rPr>
          <w:rFonts w:ascii="楷体" w:hAnsi="楷体" w:eastAsia="楷体" w:cs="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cs="楷体"/>
          <w:sz w:val="32"/>
          <w:szCs w:val="32"/>
          <w:highlight w:val="none"/>
        </w:rPr>
        <w:t>八、202</w:t>
      </w:r>
      <w:r>
        <w:rPr>
          <w:rFonts w:hint="eastAsia" w:ascii="楷体" w:hAnsi="楷体" w:eastAsia="楷体" w:cs="楷体"/>
          <w:sz w:val="32"/>
          <w:szCs w:val="32"/>
          <w:highlight w:val="none"/>
          <w:lang w:val="en-US" w:eastAsia="zh-CN"/>
        </w:rPr>
        <w:t>5</w:t>
      </w:r>
      <w:r>
        <w:rPr>
          <w:rFonts w:hint="eastAsia" w:ascii="楷体" w:hAnsi="楷体" w:eastAsia="楷体" w:cs="楷体"/>
          <w:sz w:val="32"/>
          <w:szCs w:val="32"/>
          <w:highlight w:val="none"/>
        </w:rPr>
        <w:t>年政府性基金预算支出情况</w:t>
      </w:r>
    </w:p>
    <w:p w14:paraId="5050543B">
      <w:pPr>
        <w:pStyle w:val="9"/>
        <w:ind w:firstLine="640"/>
        <w:rPr>
          <w:rFonts w:hint="eastAsia" w:ascii="仿宋" w:hAnsi="仿宋" w:eastAsia="仿宋"/>
          <w:sz w:val="32"/>
          <w:szCs w:val="32"/>
          <w:highlight w:val="none"/>
        </w:rPr>
      </w:pPr>
      <w:r>
        <w:rPr>
          <w:rFonts w:hint="eastAsia" w:ascii="仿宋" w:hAnsi="仿宋" w:eastAsia="仿宋"/>
          <w:sz w:val="32"/>
          <w:szCs w:val="32"/>
          <w:highlight w:val="none"/>
          <w:lang w:val="en-US" w:eastAsia="zh-CN"/>
        </w:rPr>
        <w:t>2025年</w:t>
      </w:r>
      <w:r>
        <w:rPr>
          <w:rFonts w:hint="eastAsia" w:ascii="仿宋" w:hAnsi="仿宋" w:eastAsia="仿宋"/>
          <w:sz w:val="32"/>
          <w:szCs w:val="32"/>
          <w:highlight w:val="none"/>
        </w:rPr>
        <w:t>本单位无政府性基金预算支出</w:t>
      </w:r>
    </w:p>
    <w:p w14:paraId="31F13409">
      <w:pPr>
        <w:pStyle w:val="9"/>
        <w:ind w:firstLine="640"/>
        <w:rPr>
          <w:rFonts w:ascii="楷体" w:hAnsi="楷体" w:eastAsia="楷体" w:cs="楷体"/>
          <w:sz w:val="32"/>
          <w:szCs w:val="32"/>
          <w:highlight w:val="none"/>
        </w:rPr>
      </w:pPr>
      <w:r>
        <w:rPr>
          <w:rFonts w:hint="eastAsia" w:ascii="楷体" w:hAnsi="楷体" w:eastAsia="楷体" w:cs="楷体"/>
          <w:sz w:val="32"/>
          <w:szCs w:val="32"/>
          <w:highlight w:val="none"/>
        </w:rPr>
        <w:t>九、202</w:t>
      </w:r>
      <w:r>
        <w:rPr>
          <w:rFonts w:hint="eastAsia" w:ascii="楷体" w:hAnsi="楷体" w:eastAsia="楷体" w:cs="楷体"/>
          <w:sz w:val="32"/>
          <w:szCs w:val="32"/>
          <w:highlight w:val="none"/>
          <w:lang w:val="en-US" w:eastAsia="zh-CN"/>
        </w:rPr>
        <w:t>5</w:t>
      </w:r>
      <w:r>
        <w:rPr>
          <w:rFonts w:hint="eastAsia" w:ascii="楷体" w:hAnsi="楷体" w:eastAsia="楷体" w:cs="楷体"/>
          <w:sz w:val="32"/>
          <w:szCs w:val="32"/>
          <w:highlight w:val="none"/>
        </w:rPr>
        <w:t>年国有资本经营预算支出情况</w:t>
      </w:r>
    </w:p>
    <w:p w14:paraId="40AE152B">
      <w:pPr>
        <w:ind w:firstLine="640" w:firstLineChars="200"/>
        <w:jc w:val="left"/>
        <w:rPr>
          <w:rFonts w:ascii="仿宋" w:hAnsi="仿宋" w:eastAsia="仿宋"/>
          <w:sz w:val="32"/>
          <w:szCs w:val="32"/>
          <w:highlight w:val="none"/>
        </w:rPr>
      </w:pPr>
      <w:r>
        <w:rPr>
          <w:rFonts w:hint="eastAsia" w:ascii="仿宋" w:hAnsi="仿宋" w:eastAsia="仿宋"/>
          <w:sz w:val="32"/>
          <w:szCs w:val="32"/>
          <w:highlight w:val="none"/>
          <w:lang w:val="en-US" w:eastAsia="zh-CN"/>
        </w:rPr>
        <w:t>2025年</w:t>
      </w:r>
      <w:r>
        <w:rPr>
          <w:rFonts w:hint="eastAsia" w:ascii="仿宋" w:hAnsi="仿宋" w:eastAsia="仿宋"/>
          <w:sz w:val="32"/>
          <w:szCs w:val="32"/>
          <w:highlight w:val="none"/>
        </w:rPr>
        <w:t>本单位无国有资本经营预算支出。</w:t>
      </w:r>
    </w:p>
    <w:p w14:paraId="35AE27CE">
      <w:pPr>
        <w:numPr>
          <w:ilvl w:val="0"/>
          <w:numId w:val="3"/>
        </w:numPr>
        <w:jc w:val="left"/>
        <w:rPr>
          <w:rFonts w:ascii="楷体" w:hAnsi="楷体" w:eastAsia="楷体" w:cs="楷体"/>
          <w:sz w:val="32"/>
          <w:szCs w:val="32"/>
          <w:highlight w:val="none"/>
        </w:rPr>
      </w:pPr>
      <w:r>
        <w:rPr>
          <w:rFonts w:hint="eastAsia" w:ascii="楷体" w:hAnsi="楷体" w:eastAsia="楷体" w:cs="楷体"/>
          <w:sz w:val="32"/>
          <w:szCs w:val="32"/>
          <w:highlight w:val="none"/>
        </w:rPr>
        <w:t>其他重要事项的说明情况</w:t>
      </w:r>
    </w:p>
    <w:p w14:paraId="06368485">
      <w:pPr>
        <w:ind w:firstLine="640" w:firstLineChars="200"/>
        <w:jc w:val="left"/>
        <w:rPr>
          <w:rFonts w:ascii="楷体" w:hAnsi="楷体" w:eastAsia="楷体" w:cs="楷体"/>
          <w:sz w:val="32"/>
          <w:szCs w:val="32"/>
          <w:highlight w:val="none"/>
        </w:rPr>
      </w:pPr>
      <w:r>
        <w:rPr>
          <w:rFonts w:hint="eastAsia" w:ascii="楷体" w:hAnsi="楷体" w:eastAsia="楷体" w:cs="楷体"/>
          <w:sz w:val="32"/>
          <w:szCs w:val="32"/>
          <w:highlight w:val="none"/>
        </w:rPr>
        <w:t>（一）机关运行经费</w:t>
      </w:r>
    </w:p>
    <w:p w14:paraId="25CA2D3A">
      <w:pPr>
        <w:pStyle w:val="8"/>
        <w:ind w:firstLine="640"/>
        <w:rPr>
          <w:rFonts w:ascii="仿宋" w:hAnsi="仿宋" w:eastAsia="仿宋"/>
          <w:sz w:val="32"/>
          <w:szCs w:val="32"/>
          <w:highlight w:val="none"/>
        </w:rPr>
      </w:pP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年部门本级1家行政单位机关运行经费财政拨款预算</w:t>
      </w:r>
      <w:r>
        <w:rPr>
          <w:rFonts w:hint="eastAsia" w:ascii="仿宋" w:hAnsi="仿宋" w:eastAsia="仿宋"/>
          <w:sz w:val="32"/>
          <w:szCs w:val="32"/>
          <w:highlight w:val="none"/>
          <w:lang w:val="en-US" w:eastAsia="zh-CN"/>
        </w:rPr>
        <w:t>75.5</w:t>
      </w:r>
      <w:r>
        <w:rPr>
          <w:rFonts w:hint="eastAsia" w:ascii="仿宋" w:hAnsi="仿宋" w:eastAsia="仿宋"/>
          <w:sz w:val="32"/>
          <w:szCs w:val="32"/>
          <w:highlight w:val="none"/>
        </w:rPr>
        <w:t>万元，比 202</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年预算增加</w:t>
      </w:r>
      <w:bookmarkStart w:id="0" w:name="_GoBack"/>
      <w:bookmarkEnd w:id="0"/>
      <w:r>
        <w:rPr>
          <w:rFonts w:hint="eastAsia" w:ascii="仿宋" w:hAnsi="仿宋" w:eastAsia="仿宋"/>
          <w:sz w:val="32"/>
          <w:szCs w:val="32"/>
          <w:highlight w:val="none"/>
          <w:lang w:val="en-US" w:eastAsia="zh-CN"/>
        </w:rPr>
        <w:t>1.88</w:t>
      </w:r>
      <w:r>
        <w:rPr>
          <w:rFonts w:hint="eastAsia" w:ascii="仿宋" w:hAnsi="仿宋" w:eastAsia="仿宋"/>
          <w:sz w:val="32"/>
          <w:szCs w:val="32"/>
          <w:highlight w:val="none"/>
        </w:rPr>
        <w:t>万元，增长</w:t>
      </w:r>
      <w:r>
        <w:rPr>
          <w:rFonts w:hint="eastAsia" w:ascii="仿宋" w:hAnsi="仿宋" w:eastAsia="仿宋"/>
          <w:sz w:val="32"/>
          <w:szCs w:val="32"/>
          <w:highlight w:val="none"/>
          <w:lang w:val="en-US" w:eastAsia="zh-CN"/>
        </w:rPr>
        <w:t>2</w:t>
      </w:r>
      <w:r>
        <w:rPr>
          <w:rFonts w:hint="eastAsia" w:ascii="仿宋" w:hAnsi="仿宋" w:eastAsia="仿宋"/>
          <w:sz w:val="32"/>
          <w:szCs w:val="32"/>
          <w:highlight w:val="none"/>
        </w:rPr>
        <w:t>%。</w:t>
      </w:r>
    </w:p>
    <w:p w14:paraId="40B63F70">
      <w:pPr>
        <w:ind w:firstLine="640" w:firstLineChars="200"/>
        <w:jc w:val="left"/>
        <w:rPr>
          <w:rFonts w:ascii="楷体" w:hAnsi="楷体" w:eastAsia="楷体"/>
          <w:sz w:val="32"/>
          <w:szCs w:val="32"/>
          <w:highlight w:val="none"/>
        </w:rPr>
      </w:pPr>
      <w:r>
        <w:rPr>
          <w:rFonts w:hint="eastAsia" w:ascii="楷体" w:hAnsi="楷体" w:eastAsia="楷体"/>
          <w:sz w:val="32"/>
          <w:szCs w:val="32"/>
          <w:highlight w:val="none"/>
        </w:rPr>
        <w:t>（二）政府采购情况</w:t>
      </w:r>
    </w:p>
    <w:p w14:paraId="107F4CDD">
      <w:pPr>
        <w:ind w:firstLine="640" w:firstLineChars="200"/>
        <w:jc w:val="left"/>
        <w:rPr>
          <w:rFonts w:ascii="仿宋" w:hAnsi="仿宋" w:eastAsia="仿宋"/>
          <w:sz w:val="32"/>
          <w:szCs w:val="32"/>
          <w:highlight w:val="none"/>
        </w:rPr>
      </w:pP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年政府采购预算总额</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万元，其中：政府采购办公设备和其他设备预算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万元，政府采购工程预算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万元，政府采购服务预算</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w:t>
      </w:r>
    </w:p>
    <w:p w14:paraId="659D407C">
      <w:pPr>
        <w:jc w:val="left"/>
        <w:rPr>
          <w:rFonts w:ascii="楷体" w:hAnsi="楷体" w:eastAsia="楷体"/>
          <w:sz w:val="32"/>
          <w:szCs w:val="32"/>
          <w:highlight w:val="none"/>
        </w:rPr>
      </w:pPr>
      <w:r>
        <w:rPr>
          <w:rFonts w:hint="eastAsia" w:ascii="仿宋" w:hAnsi="仿宋" w:eastAsia="仿宋"/>
          <w:sz w:val="32"/>
          <w:szCs w:val="32"/>
          <w:highlight w:val="none"/>
        </w:rPr>
        <w:t xml:space="preserve">    </w:t>
      </w:r>
      <w:r>
        <w:rPr>
          <w:rFonts w:hint="eastAsia" w:ascii="楷体" w:hAnsi="楷体" w:eastAsia="楷体"/>
          <w:sz w:val="32"/>
          <w:szCs w:val="32"/>
          <w:highlight w:val="none"/>
        </w:rPr>
        <w:t>（三）国有资产占有使用情况</w:t>
      </w:r>
    </w:p>
    <w:p w14:paraId="68525435">
      <w:pPr>
        <w:pStyle w:val="8"/>
        <w:ind w:firstLine="0" w:firstLineChars="0"/>
        <w:jc w:val="left"/>
        <w:rPr>
          <w:rFonts w:ascii="仿宋" w:hAnsi="仿宋" w:eastAsia="仿宋"/>
          <w:sz w:val="32"/>
          <w:szCs w:val="32"/>
          <w:highlight w:val="none"/>
        </w:rPr>
      </w:pPr>
      <w:r>
        <w:rPr>
          <w:rFonts w:hint="eastAsia" w:ascii="仿宋" w:hAnsi="仿宋" w:eastAsia="仿宋"/>
          <w:sz w:val="32"/>
          <w:szCs w:val="32"/>
          <w:highlight w:val="none"/>
        </w:rPr>
        <w:t xml:space="preserve">    截至202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年1月，部门本级共有车辆</w:t>
      </w:r>
      <w:r>
        <w:rPr>
          <w:rFonts w:hint="eastAsia" w:ascii="仿宋" w:hAnsi="仿宋" w:eastAsia="仿宋"/>
          <w:sz w:val="32"/>
          <w:szCs w:val="32"/>
          <w:highlight w:val="none"/>
          <w:lang w:val="en-US" w:eastAsia="zh-CN"/>
        </w:rPr>
        <w:t>10</w:t>
      </w:r>
      <w:r>
        <w:rPr>
          <w:rFonts w:hint="eastAsia" w:ascii="仿宋" w:hAnsi="仿宋" w:eastAsia="仿宋"/>
          <w:sz w:val="32"/>
          <w:szCs w:val="32"/>
          <w:highlight w:val="none"/>
        </w:rPr>
        <w:t>辆，其中，领导干部用车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辆、一般公务用车</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辆,一般执法执勤用车</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辆、特种专业技术用车</w:t>
      </w:r>
      <w:r>
        <w:rPr>
          <w:rFonts w:hint="eastAsia" w:ascii="仿宋" w:hAnsi="仿宋" w:eastAsia="仿宋"/>
          <w:sz w:val="32"/>
          <w:szCs w:val="32"/>
          <w:highlight w:val="none"/>
          <w:lang w:val="en-US" w:eastAsia="zh-CN"/>
        </w:rPr>
        <w:t>6</w:t>
      </w:r>
      <w:r>
        <w:rPr>
          <w:rFonts w:hint="eastAsia" w:ascii="仿宋" w:hAnsi="仿宋" w:eastAsia="仿宋"/>
          <w:sz w:val="32"/>
          <w:szCs w:val="32"/>
          <w:highlight w:val="none"/>
        </w:rPr>
        <w:t>辆、其他用车</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辆，价值200万元以上大型设备</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台（套）。</w:t>
      </w:r>
    </w:p>
    <w:p w14:paraId="5570E6BB">
      <w:pPr>
        <w:pStyle w:val="8"/>
        <w:ind w:firstLine="640"/>
        <w:jc w:val="left"/>
        <w:rPr>
          <w:rFonts w:ascii="仿宋" w:hAnsi="仿宋" w:eastAsia="仿宋"/>
          <w:sz w:val="32"/>
          <w:szCs w:val="32"/>
          <w:highlight w:val="none"/>
        </w:rPr>
      </w:pP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年部门预算安排购置车辆及价值200万元以上大型设备</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w:t>
      </w:r>
    </w:p>
    <w:p w14:paraId="112327F9">
      <w:pPr>
        <w:numPr>
          <w:ilvl w:val="0"/>
          <w:numId w:val="4"/>
        </w:numPr>
        <w:ind w:firstLine="640"/>
        <w:jc w:val="left"/>
        <w:rPr>
          <w:rFonts w:ascii="楷体" w:hAnsi="楷体" w:eastAsia="楷体"/>
          <w:sz w:val="32"/>
          <w:szCs w:val="32"/>
          <w:highlight w:val="none"/>
        </w:rPr>
      </w:pPr>
      <w:r>
        <w:rPr>
          <w:rFonts w:hint="eastAsia" w:ascii="楷体" w:hAnsi="楷体" w:eastAsia="楷体"/>
          <w:sz w:val="32"/>
          <w:szCs w:val="32"/>
          <w:highlight w:val="none"/>
        </w:rPr>
        <w:t>预算项目绩效目标管理情况</w:t>
      </w:r>
    </w:p>
    <w:p w14:paraId="398ED643">
      <w:pPr>
        <w:jc w:val="left"/>
        <w:rPr>
          <w:rFonts w:ascii="仿宋" w:hAnsi="仿宋" w:eastAsia="仿宋"/>
          <w:sz w:val="32"/>
          <w:szCs w:val="32"/>
          <w:highlight w:val="none"/>
        </w:rPr>
      </w:pPr>
      <w:r>
        <w:rPr>
          <w:rFonts w:hint="eastAsia" w:ascii="仿宋" w:hAnsi="仿宋" w:eastAsia="仿宋"/>
          <w:sz w:val="32"/>
          <w:szCs w:val="32"/>
          <w:highlight w:val="none"/>
        </w:rPr>
        <w:t xml:space="preserve">    按照全面实施预算绩效管理的要求，结合本部门职能和重点工作，202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w:t>
      </w:r>
      <w:r>
        <w:rPr>
          <w:rFonts w:hint="eastAsia" w:ascii="仿宋" w:hAnsi="仿宋" w:eastAsia="仿宋"/>
          <w:sz w:val="32"/>
          <w:szCs w:val="32"/>
          <w:highlight w:val="none"/>
          <w:lang w:eastAsia="zh-CN"/>
        </w:rPr>
        <w:t>将</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个项目</w:t>
      </w:r>
      <w:r>
        <w:rPr>
          <w:rFonts w:hint="eastAsia" w:ascii="仿宋" w:hAnsi="仿宋" w:eastAsia="仿宋"/>
          <w:sz w:val="32"/>
          <w:szCs w:val="32"/>
          <w:highlight w:val="none"/>
          <w:lang w:eastAsia="zh-CN"/>
        </w:rPr>
        <w:t>支出的绩效目标和指标向社会公开</w:t>
      </w:r>
      <w:r>
        <w:rPr>
          <w:rFonts w:hint="eastAsia" w:ascii="仿宋" w:hAnsi="仿宋" w:eastAsia="仿宋"/>
          <w:sz w:val="32"/>
          <w:szCs w:val="32"/>
          <w:highlight w:val="none"/>
        </w:rPr>
        <w:t>，涉及金额</w:t>
      </w:r>
      <w:r>
        <w:rPr>
          <w:rFonts w:hint="eastAsia" w:ascii="仿宋" w:hAnsi="仿宋" w:eastAsia="仿宋"/>
          <w:sz w:val="32"/>
          <w:szCs w:val="32"/>
          <w:highlight w:val="none"/>
          <w:lang w:val="en-US" w:eastAsia="zh-CN"/>
        </w:rPr>
        <w:t>0</w:t>
      </w:r>
      <w:r>
        <w:rPr>
          <w:rFonts w:hint="eastAsia" w:ascii="仿宋" w:hAnsi="仿宋" w:eastAsia="仿宋"/>
          <w:sz w:val="32"/>
          <w:szCs w:val="32"/>
          <w:highlight w:val="none"/>
        </w:rPr>
        <w:t>万元。</w:t>
      </w:r>
    </w:p>
    <w:p w14:paraId="21AE4874">
      <w:pPr>
        <w:jc w:val="center"/>
        <w:rPr>
          <w:rFonts w:ascii="仿宋" w:hAnsi="仿宋" w:eastAsia="仿宋"/>
          <w:sz w:val="32"/>
          <w:szCs w:val="32"/>
          <w:highlight w:val="none"/>
        </w:rPr>
      </w:pPr>
    </w:p>
    <w:p w14:paraId="1BA630F5">
      <w:pPr>
        <w:jc w:val="center"/>
        <w:rPr>
          <w:rFonts w:hint="eastAsia" w:ascii="黑体" w:hAnsi="黑体" w:eastAsia="黑体"/>
          <w:sz w:val="32"/>
          <w:szCs w:val="32"/>
          <w:highlight w:val="none"/>
        </w:rPr>
      </w:pPr>
    </w:p>
    <w:p w14:paraId="1A4C8B1D">
      <w:pPr>
        <w:jc w:val="center"/>
        <w:rPr>
          <w:rFonts w:hint="eastAsia" w:ascii="黑体" w:hAnsi="黑体" w:eastAsia="黑体"/>
          <w:sz w:val="32"/>
          <w:szCs w:val="32"/>
          <w:highlight w:val="none"/>
        </w:rPr>
      </w:pPr>
    </w:p>
    <w:p w14:paraId="63D30F94">
      <w:pPr>
        <w:jc w:val="center"/>
        <w:rPr>
          <w:rFonts w:hint="eastAsia" w:ascii="黑体" w:hAnsi="黑体" w:eastAsia="黑体"/>
          <w:sz w:val="32"/>
          <w:szCs w:val="32"/>
          <w:highlight w:val="none"/>
        </w:rPr>
      </w:pPr>
    </w:p>
    <w:p w14:paraId="4718390D">
      <w:pPr>
        <w:jc w:val="center"/>
        <w:rPr>
          <w:rFonts w:hint="eastAsia" w:ascii="黑体" w:hAnsi="黑体" w:eastAsia="黑体"/>
          <w:sz w:val="32"/>
          <w:szCs w:val="32"/>
          <w:highlight w:val="none"/>
        </w:rPr>
      </w:pPr>
    </w:p>
    <w:p w14:paraId="52D455BC">
      <w:pPr>
        <w:jc w:val="center"/>
        <w:rPr>
          <w:rFonts w:hint="eastAsia" w:ascii="黑体" w:hAnsi="黑体" w:eastAsia="黑体"/>
          <w:sz w:val="32"/>
          <w:szCs w:val="32"/>
          <w:highlight w:val="none"/>
        </w:rPr>
      </w:pPr>
    </w:p>
    <w:p w14:paraId="1D195949">
      <w:pPr>
        <w:jc w:val="center"/>
        <w:rPr>
          <w:rFonts w:hint="eastAsia" w:ascii="黑体" w:hAnsi="黑体" w:eastAsia="黑体"/>
          <w:sz w:val="32"/>
          <w:szCs w:val="32"/>
          <w:highlight w:val="none"/>
        </w:rPr>
      </w:pPr>
    </w:p>
    <w:p w14:paraId="00D36977">
      <w:pPr>
        <w:jc w:val="center"/>
        <w:rPr>
          <w:rFonts w:hint="eastAsia" w:ascii="黑体" w:hAnsi="黑体" w:eastAsia="黑体"/>
          <w:sz w:val="32"/>
          <w:szCs w:val="32"/>
          <w:highlight w:val="none"/>
        </w:rPr>
      </w:pPr>
    </w:p>
    <w:p w14:paraId="7CD261A0">
      <w:pPr>
        <w:jc w:val="center"/>
        <w:rPr>
          <w:rFonts w:hint="eastAsia" w:ascii="黑体" w:hAnsi="黑体" w:eastAsia="黑体"/>
          <w:sz w:val="32"/>
          <w:szCs w:val="32"/>
          <w:highlight w:val="none"/>
        </w:rPr>
      </w:pPr>
    </w:p>
    <w:p w14:paraId="03BA5F2B">
      <w:pPr>
        <w:jc w:val="center"/>
        <w:rPr>
          <w:rFonts w:hint="eastAsia" w:ascii="黑体" w:hAnsi="黑体" w:eastAsia="黑体"/>
          <w:sz w:val="32"/>
          <w:szCs w:val="32"/>
          <w:highlight w:val="none"/>
        </w:rPr>
      </w:pPr>
    </w:p>
    <w:p w14:paraId="43FA3F07">
      <w:pPr>
        <w:jc w:val="center"/>
        <w:rPr>
          <w:rFonts w:hint="eastAsia" w:ascii="黑体" w:hAnsi="黑体" w:eastAsia="黑体"/>
          <w:sz w:val="32"/>
          <w:szCs w:val="32"/>
          <w:highlight w:val="none"/>
        </w:rPr>
      </w:pPr>
    </w:p>
    <w:p w14:paraId="517D2A50">
      <w:pPr>
        <w:jc w:val="center"/>
        <w:rPr>
          <w:rFonts w:ascii="黑体" w:hAnsi="黑体" w:eastAsia="黑体"/>
          <w:sz w:val="32"/>
          <w:szCs w:val="32"/>
          <w:highlight w:val="none"/>
        </w:rPr>
      </w:pPr>
      <w:r>
        <w:rPr>
          <w:rFonts w:hint="eastAsia" w:ascii="黑体" w:hAnsi="黑体" w:eastAsia="黑体"/>
          <w:sz w:val="32"/>
          <w:szCs w:val="32"/>
          <w:highlight w:val="none"/>
        </w:rPr>
        <w:t>第三部分  名词解释</w:t>
      </w:r>
    </w:p>
    <w:p w14:paraId="566A0EF8">
      <w:pPr>
        <w:ind w:firstLine="640" w:firstLineChars="200"/>
        <w:rPr>
          <w:rFonts w:ascii="仿宋_GB2312" w:eastAsia="仿宋_GB2312"/>
          <w:sz w:val="32"/>
          <w:szCs w:val="32"/>
          <w:highlight w:val="none"/>
        </w:rPr>
      </w:pPr>
      <w:r>
        <w:rPr>
          <w:rFonts w:hint="eastAsia" w:ascii="仿宋_GB2312" w:eastAsia="仿宋_GB2312"/>
          <w:sz w:val="32"/>
          <w:szCs w:val="32"/>
          <w:highlight w:val="none"/>
        </w:rPr>
        <w:t>一、一般公共预算拨款收入：指本级财政通过当年一般公共预算拨付的资金。</w:t>
      </w:r>
    </w:p>
    <w:p w14:paraId="0752787A">
      <w:pPr>
        <w:ind w:firstLine="640" w:firstLineChars="200"/>
        <w:rPr>
          <w:rFonts w:ascii="仿宋_GB2312" w:eastAsia="仿宋_GB2312"/>
          <w:sz w:val="32"/>
          <w:szCs w:val="32"/>
          <w:highlight w:val="none"/>
        </w:rPr>
      </w:pPr>
      <w:r>
        <w:rPr>
          <w:rFonts w:hint="eastAsia" w:ascii="仿宋_GB2312" w:eastAsia="仿宋_GB2312"/>
          <w:sz w:val="32"/>
          <w:szCs w:val="32"/>
          <w:highlight w:val="none"/>
        </w:rPr>
        <w:t>二、政府性基金预算拨款收入：指本级财政通过当年政府性基金预算拨付的资金。</w:t>
      </w:r>
    </w:p>
    <w:p w14:paraId="630A68A8">
      <w:pPr>
        <w:ind w:firstLine="640" w:firstLineChars="200"/>
        <w:rPr>
          <w:rFonts w:ascii="仿宋_GB2312" w:eastAsia="仿宋_GB2312"/>
          <w:sz w:val="32"/>
          <w:szCs w:val="32"/>
          <w:highlight w:val="none"/>
        </w:rPr>
      </w:pPr>
      <w:r>
        <w:rPr>
          <w:rFonts w:hint="eastAsia" w:ascii="仿宋_GB2312" w:eastAsia="仿宋_GB2312"/>
          <w:sz w:val="32"/>
          <w:szCs w:val="32"/>
          <w:highlight w:val="none"/>
        </w:rPr>
        <w:t>三、国有资本经营预算拨款收入：指本级财政通过当年国有资本经营预算拨付的资金。</w:t>
      </w:r>
    </w:p>
    <w:p w14:paraId="09F0B857">
      <w:pPr>
        <w:ind w:firstLine="640" w:firstLineChars="200"/>
        <w:rPr>
          <w:rFonts w:ascii="仿宋_GB2312" w:eastAsia="仿宋_GB2312"/>
          <w:sz w:val="32"/>
          <w:szCs w:val="32"/>
          <w:highlight w:val="none"/>
        </w:rPr>
      </w:pPr>
      <w:r>
        <w:rPr>
          <w:rFonts w:hint="eastAsia" w:ascii="仿宋_GB2312" w:eastAsia="仿宋_GB2312"/>
          <w:sz w:val="32"/>
          <w:szCs w:val="32"/>
          <w:highlight w:val="none"/>
        </w:rPr>
        <w:t>四、其他收入：指除上述收入以外的各项收入。包括银行存款利息收入。</w:t>
      </w:r>
    </w:p>
    <w:p w14:paraId="4295169E">
      <w:pPr>
        <w:ind w:firstLine="640" w:firstLineChars="200"/>
        <w:rPr>
          <w:rFonts w:ascii="仿宋_GB2312" w:eastAsia="仿宋_GB2312"/>
          <w:sz w:val="32"/>
          <w:szCs w:val="32"/>
          <w:highlight w:val="none"/>
        </w:rPr>
      </w:pPr>
      <w:r>
        <w:rPr>
          <w:rFonts w:hint="eastAsia" w:ascii="仿宋_GB2312" w:eastAsia="仿宋_GB2312"/>
          <w:sz w:val="32"/>
          <w:szCs w:val="32"/>
          <w:highlight w:val="none"/>
        </w:rPr>
        <w:t>五、基本支出：指为保障机构正常运转、完成日常工作任务而发生的人员支出和公用支出等各项支出。</w:t>
      </w:r>
    </w:p>
    <w:p w14:paraId="7E76DB4D">
      <w:pPr>
        <w:ind w:firstLine="640" w:firstLineChars="200"/>
        <w:rPr>
          <w:rFonts w:ascii="仿宋_GB2312" w:eastAsia="仿宋_GB2312"/>
          <w:sz w:val="32"/>
          <w:szCs w:val="32"/>
          <w:highlight w:val="none"/>
        </w:rPr>
      </w:pPr>
      <w:r>
        <w:rPr>
          <w:rFonts w:hint="eastAsia" w:ascii="仿宋_GB2312" w:eastAsia="仿宋_GB2312"/>
          <w:sz w:val="32"/>
          <w:szCs w:val="32"/>
          <w:highlight w:val="none"/>
        </w:rPr>
        <w:t>六、项目支出：指在基本支出之外为完成特定行政工作任务和事业发展目标所发生的各项支出。</w:t>
      </w:r>
    </w:p>
    <w:p w14:paraId="238194B1">
      <w:pPr>
        <w:ind w:firstLine="640" w:firstLineChars="200"/>
        <w:rPr>
          <w:rFonts w:ascii="仿宋_GB2312" w:eastAsia="仿宋_GB2312"/>
          <w:sz w:val="32"/>
          <w:szCs w:val="32"/>
          <w:highlight w:val="none"/>
        </w:rPr>
      </w:pPr>
      <w:r>
        <w:rPr>
          <w:rFonts w:hint="eastAsia" w:ascii="仿宋_GB2312" w:eastAsia="仿宋_GB2312"/>
          <w:sz w:val="32"/>
          <w:szCs w:val="32"/>
          <w:highlight w:val="none"/>
        </w:rPr>
        <w:t>七、年初结转和结余：指以前年度尚未完成、结转到本年仍按原规定用途继续使用的资金，或项目已完成等产生的结余资金。</w:t>
      </w:r>
    </w:p>
    <w:p w14:paraId="7B436BEB">
      <w:pPr>
        <w:ind w:firstLine="640" w:firstLineChars="200"/>
        <w:rPr>
          <w:rFonts w:ascii="仿宋_GB2312" w:eastAsia="仿宋_GB2312"/>
          <w:sz w:val="32"/>
          <w:szCs w:val="32"/>
          <w:highlight w:val="none"/>
        </w:rPr>
      </w:pPr>
      <w:r>
        <w:rPr>
          <w:rFonts w:hint="eastAsia" w:ascii="仿宋_GB2312" w:eastAsia="仿宋_GB2312"/>
          <w:sz w:val="32"/>
          <w:szCs w:val="32"/>
          <w:highlight w:val="none"/>
        </w:rPr>
        <w:t>八、年末结转和结余：指事业单位按有关规定结转到下年或以后年度继续使用的资金，或项目已完成等产生的结余资金。</w:t>
      </w:r>
    </w:p>
    <w:p w14:paraId="727C3EBB">
      <w:pPr>
        <w:ind w:firstLine="640" w:firstLineChars="200"/>
        <w:rPr>
          <w:rFonts w:ascii="仿宋_GB2312" w:eastAsia="仿宋_GB2312"/>
          <w:sz w:val="32"/>
          <w:szCs w:val="32"/>
          <w:highlight w:val="none"/>
        </w:rPr>
      </w:pPr>
      <w:r>
        <w:rPr>
          <w:rFonts w:hint="eastAsia" w:ascii="仿宋_GB2312" w:eastAsia="仿宋_GB2312"/>
          <w:sz w:val="32"/>
          <w:szCs w:val="32"/>
          <w:highlight w:val="none"/>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721BDBC8">
      <w:pPr>
        <w:ind w:firstLine="640" w:firstLineChars="200"/>
        <w:rPr>
          <w:rFonts w:ascii="仿宋_GB2312" w:eastAsia="仿宋_GB2312"/>
          <w:sz w:val="32"/>
          <w:szCs w:val="32"/>
          <w:highlight w:val="none"/>
        </w:rPr>
      </w:pPr>
      <w:r>
        <w:rPr>
          <w:rFonts w:hint="eastAsia" w:ascii="仿宋_GB2312" w:eastAsia="仿宋_GB2312"/>
          <w:sz w:val="32"/>
          <w:szCs w:val="32"/>
          <w:highlight w:val="none"/>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14F480ED">
      <w:pPr>
        <w:ind w:firstLine="640" w:firstLineChars="200"/>
        <w:rPr>
          <w:rFonts w:ascii="仿宋_GB2312" w:eastAsia="仿宋_GB2312"/>
          <w:sz w:val="32"/>
          <w:szCs w:val="32"/>
          <w:highlight w:val="none"/>
        </w:rPr>
      </w:pPr>
      <w:r>
        <w:rPr>
          <w:rFonts w:hint="eastAsia" w:ascii="仿宋_GB2312" w:eastAsia="仿宋_GB2312"/>
          <w:sz w:val="32"/>
          <w:szCs w:val="32"/>
          <w:highlight w:val="none"/>
        </w:rPr>
        <w:t>十一、住房公积金支出：指行政事业单位按人力资源和社会保障部、财政部规定的基本工资和津贴补贴以及规定比例为职工缴纳的住房公积金支出。</w:t>
      </w:r>
    </w:p>
    <w:p w14:paraId="33532075">
      <w:pPr>
        <w:ind w:firstLine="640" w:firstLineChars="200"/>
        <w:jc w:val="left"/>
        <w:rPr>
          <w:rFonts w:ascii="仿宋_GB2312" w:hAnsi="仿宋_GB2312" w:eastAsia="仿宋_GB2312" w:cs="Times New Roman"/>
          <w:kern w:val="0"/>
          <w:sz w:val="32"/>
          <w:szCs w:val="32"/>
          <w:highlight w:val="none"/>
        </w:rPr>
      </w:pPr>
      <w:r>
        <w:rPr>
          <w:rFonts w:hint="eastAsia" w:ascii="仿宋_GB2312" w:eastAsia="仿宋_GB2312"/>
          <w:sz w:val="32"/>
          <w:szCs w:val="32"/>
          <w:highlight w:val="none"/>
        </w:rPr>
        <w:t>十二、项目支出绩效目标：</w:t>
      </w:r>
      <w:r>
        <w:rPr>
          <w:rFonts w:ascii="仿宋_GB2312" w:hAnsi="仿宋_GB2312" w:eastAsia="仿宋_GB2312" w:cs="Times New Roman"/>
          <w:kern w:val="0"/>
          <w:sz w:val="32"/>
          <w:szCs w:val="32"/>
          <w:highlight w:val="none"/>
        </w:rPr>
        <w:t>是以项目支出为对象，以项目实施所带来的产出和结果为主要内容，</w:t>
      </w:r>
      <w:r>
        <w:rPr>
          <w:rFonts w:hint="eastAsia" w:ascii="仿宋_GB2312" w:hAnsi="仿宋_GB2312" w:eastAsia="仿宋_GB2312" w:cs="Times New Roman"/>
          <w:kern w:val="0"/>
          <w:sz w:val="32"/>
          <w:szCs w:val="32"/>
          <w:highlight w:val="none"/>
        </w:rPr>
        <w:t>为</w:t>
      </w:r>
      <w:r>
        <w:rPr>
          <w:rFonts w:ascii="仿宋_GB2312" w:hAnsi="仿宋_GB2312" w:eastAsia="仿宋_GB2312" w:cs="Times New Roman"/>
          <w:kern w:val="0"/>
          <w:sz w:val="32"/>
          <w:szCs w:val="32"/>
          <w:highlight w:val="none"/>
        </w:rPr>
        <w:t>促进预算单位完成特定工作任务或事业发展</w:t>
      </w:r>
      <w:r>
        <w:rPr>
          <w:rFonts w:hint="eastAsia" w:ascii="仿宋_GB2312" w:hAnsi="仿宋_GB2312" w:eastAsia="仿宋_GB2312" w:cs="Times New Roman"/>
          <w:kern w:val="0"/>
          <w:sz w:val="32"/>
          <w:szCs w:val="32"/>
          <w:highlight w:val="none"/>
        </w:rPr>
        <w:t>所制定的</w:t>
      </w:r>
      <w:r>
        <w:rPr>
          <w:rFonts w:ascii="仿宋_GB2312" w:hAnsi="仿宋_GB2312" w:eastAsia="仿宋_GB2312" w:cs="Times New Roman"/>
          <w:kern w:val="0"/>
          <w:sz w:val="32"/>
          <w:szCs w:val="32"/>
          <w:highlight w:val="none"/>
        </w:rPr>
        <w:t>目标</w:t>
      </w:r>
      <w:r>
        <w:rPr>
          <w:rFonts w:hint="eastAsia" w:ascii="仿宋_GB2312" w:hAnsi="仿宋_GB2312" w:eastAsia="仿宋_GB2312" w:cs="Times New Roman"/>
          <w:kern w:val="0"/>
          <w:sz w:val="32"/>
          <w:szCs w:val="32"/>
          <w:highlight w:val="none"/>
        </w:rPr>
        <w:t>。</w:t>
      </w:r>
    </w:p>
    <w:p w14:paraId="720500A2">
      <w:pPr>
        <w:ind w:firstLine="640" w:firstLineChars="200"/>
        <w:rPr>
          <w:rFonts w:ascii="仿宋_GB2312" w:eastAsia="仿宋_GB2312"/>
          <w:sz w:val="32"/>
          <w:szCs w:val="32"/>
          <w:highlight w:val="none"/>
        </w:rPr>
      </w:pPr>
    </w:p>
    <w:p w14:paraId="02943284">
      <w:pPr>
        <w:jc w:val="left"/>
        <w:rPr>
          <w:rFonts w:ascii="仿宋" w:hAnsi="仿宋" w:eastAsia="仿宋"/>
          <w:sz w:val="32"/>
          <w:szCs w:val="32"/>
          <w:highlight w:val="none"/>
        </w:rPr>
      </w:pPr>
      <w:r>
        <w:rPr>
          <w:rFonts w:hint="eastAsia" w:ascii="仿宋" w:hAnsi="仿宋" w:eastAsia="仿宋"/>
          <w:sz w:val="32"/>
          <w:szCs w:val="32"/>
          <w:highlight w:val="none"/>
        </w:rPr>
        <w:t xml:space="preserve"> </w:t>
      </w:r>
    </w:p>
    <w:p w14:paraId="4AEFAC74">
      <w:pPr>
        <w:jc w:val="left"/>
        <w:rPr>
          <w:rFonts w:ascii="仿宋" w:hAnsi="仿宋" w:eastAsia="仿宋"/>
          <w:sz w:val="32"/>
          <w:szCs w:val="32"/>
          <w:highlight w:val="none"/>
        </w:rPr>
      </w:pPr>
    </w:p>
    <w:p w14:paraId="34CB9C5A">
      <w:pPr>
        <w:jc w:val="left"/>
        <w:rPr>
          <w:rFonts w:ascii="仿宋" w:hAnsi="仿宋" w:eastAsia="仿宋"/>
          <w:sz w:val="32"/>
          <w:szCs w:val="32"/>
          <w:highlight w:val="none"/>
        </w:rPr>
      </w:pPr>
    </w:p>
    <w:p w14:paraId="3242BEB0">
      <w:pPr>
        <w:jc w:val="center"/>
        <w:rPr>
          <w:rFonts w:hint="eastAsia" w:ascii="仿宋" w:hAnsi="仿宋" w:eastAsia="仿宋"/>
          <w:sz w:val="32"/>
          <w:szCs w:val="32"/>
          <w:highlight w:val="none"/>
        </w:rPr>
      </w:pPr>
    </w:p>
    <w:p w14:paraId="6AC0E777">
      <w:pPr>
        <w:jc w:val="center"/>
        <w:rPr>
          <w:rFonts w:hint="eastAsia" w:ascii="仿宋" w:hAnsi="仿宋" w:eastAsia="仿宋"/>
          <w:sz w:val="32"/>
          <w:szCs w:val="32"/>
          <w:highlight w:val="none"/>
        </w:rPr>
      </w:pPr>
    </w:p>
    <w:p w14:paraId="5D3B72AE">
      <w:pPr>
        <w:jc w:val="center"/>
        <w:rPr>
          <w:rFonts w:hint="eastAsia" w:ascii="仿宋" w:hAnsi="仿宋" w:eastAsia="仿宋"/>
          <w:sz w:val="32"/>
          <w:szCs w:val="32"/>
          <w:highlight w:val="none"/>
        </w:rPr>
      </w:pPr>
    </w:p>
    <w:p w14:paraId="6560162B">
      <w:pPr>
        <w:jc w:val="center"/>
        <w:rPr>
          <w:rFonts w:ascii="仿宋" w:hAnsi="仿宋" w:eastAsia="仿宋"/>
          <w:sz w:val="32"/>
          <w:szCs w:val="32"/>
          <w:highlight w:val="none"/>
        </w:rPr>
      </w:pPr>
      <w:r>
        <w:rPr>
          <w:rFonts w:hint="eastAsia" w:ascii="黑体" w:hAnsi="黑体" w:eastAsia="黑体"/>
          <w:sz w:val="32"/>
          <w:szCs w:val="32"/>
          <w:highlight w:val="none"/>
        </w:rPr>
        <w:t>第四部分  预算表格</w:t>
      </w:r>
    </w:p>
    <w:p w14:paraId="7EB060A9">
      <w:pPr>
        <w:jc w:val="left"/>
        <w:rPr>
          <w:rFonts w:hint="eastAsia" w:ascii="仿宋" w:hAnsi="仿宋" w:eastAsia="仿宋"/>
          <w:sz w:val="32"/>
          <w:szCs w:val="32"/>
          <w:highlight w:val="none"/>
          <w:lang w:eastAsia="zh-CN"/>
        </w:rPr>
      </w:pPr>
      <w:r>
        <w:rPr>
          <w:rFonts w:hint="eastAsia" w:ascii="仿宋" w:hAnsi="仿宋" w:eastAsia="仿宋"/>
          <w:sz w:val="32"/>
          <w:szCs w:val="32"/>
          <w:highlight w:val="none"/>
        </w:rPr>
        <w:t>202</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年部门预算表套表（预算一体化系统报表查询模块中提取相应数据）</w:t>
      </w:r>
      <w:r>
        <w:rPr>
          <w:rFonts w:hint="eastAsia" w:ascii="仿宋" w:hAnsi="仿宋" w:eastAsia="仿宋"/>
          <w:sz w:val="32"/>
          <w:szCs w:val="32"/>
          <w:highlight w:val="none"/>
          <w:lang w:eastAsia="zh-CN"/>
        </w:rPr>
        <w:t>。</w:t>
      </w:r>
    </w:p>
    <w:p w14:paraId="3FFC6E50">
      <w:pPr>
        <w:rPr>
          <w:rFonts w:ascii="仿宋" w:hAnsi="仿宋" w:eastAsia="仿宋"/>
          <w:sz w:val="32"/>
          <w:szCs w:val="32"/>
          <w:highlight w:val="none"/>
        </w:rPr>
      </w:pPr>
    </w:p>
    <w:p w14:paraId="2B2DD3A0">
      <w:pPr>
        <w:rPr>
          <w:rFonts w:ascii="仿宋" w:hAnsi="仿宋" w:eastAsia="仿宋"/>
          <w:b/>
          <w:sz w:val="32"/>
          <w:szCs w:val="32"/>
          <w:highlight w:val="none"/>
        </w:rPr>
      </w:pPr>
      <w:r>
        <w:rPr>
          <w:rFonts w:hint="eastAsia" w:ascii="仿宋" w:hAnsi="仿宋" w:eastAsia="仿宋"/>
          <w:b/>
          <w:sz w:val="32"/>
          <w:szCs w:val="32"/>
          <w:highlight w:val="none"/>
        </w:rPr>
        <w:t>注意：请勿删减文字部分内容，表格中如果是空表也需要保留。</w:t>
      </w:r>
    </w:p>
    <w:p w14:paraId="255ACE0D">
      <w:pPr>
        <w:rPr>
          <w:highlight w:val="none"/>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D3B3835"/>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CE24BA5"/>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15</Pages>
  <Words>4989</Words>
  <Characters>5287</Characters>
  <Lines>22</Lines>
  <Paragraphs>6</Paragraphs>
  <TotalTime>10</TotalTime>
  <ScaleCrop>false</ScaleCrop>
  <LinksUpToDate>false</LinksUpToDate>
  <CharactersWithSpaces>5442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Mr.Z</cp:lastModifiedBy>
  <dcterms:modified xsi:type="dcterms:W3CDTF">2025-04-01T02:55:30Z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eyJoZGlkIjoiMjFjOWU5YzgwY2UxODczNDFkMDc2ZTUwZWJjZmI2ODciLCJ1c2VySWQiOiI1NzkyOTA5ODYifQ==</vt:lpwstr>
  </property>
</Properties>
</file>