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hint="eastAsia" w:ascii="黑体" w:hAnsi="黑体" w:eastAsia="黑体"/>
          <w:sz w:val="44"/>
          <w:szCs w:val="44"/>
        </w:rPr>
      </w:pPr>
    </w:p>
    <w:p w14:paraId="0722EA08">
      <w:pPr>
        <w:jc w:val="center"/>
        <w:rPr>
          <w:rFonts w:hint="eastAsia" w:ascii="黑体" w:hAnsi="黑体" w:eastAsia="黑体"/>
          <w:sz w:val="44"/>
          <w:szCs w:val="44"/>
        </w:rPr>
      </w:pPr>
    </w:p>
    <w:p w14:paraId="5712AD97">
      <w:pPr>
        <w:jc w:val="center"/>
        <w:rPr>
          <w:rFonts w:hint="eastAsia" w:ascii="黑体" w:hAnsi="黑体" w:eastAsia="黑体"/>
          <w:sz w:val="44"/>
          <w:szCs w:val="44"/>
        </w:rPr>
      </w:pPr>
    </w:p>
    <w:p w14:paraId="4DAE025F">
      <w:pPr>
        <w:jc w:val="center"/>
        <w:rPr>
          <w:rFonts w:hint="eastAsia" w:ascii="黑体" w:hAnsi="黑体" w:eastAsia="黑体"/>
          <w:sz w:val="44"/>
          <w:szCs w:val="44"/>
        </w:rPr>
      </w:pPr>
    </w:p>
    <w:p w14:paraId="5C6FEE61">
      <w:pPr>
        <w:jc w:val="center"/>
        <w:rPr>
          <w:rFonts w:hint="eastAsia" w:ascii="黑体" w:hAnsi="黑体" w:eastAsia="黑体"/>
          <w:sz w:val="44"/>
          <w:szCs w:val="44"/>
        </w:rPr>
      </w:pPr>
    </w:p>
    <w:p w14:paraId="0050A5F4">
      <w:pPr>
        <w:jc w:val="center"/>
        <w:rPr>
          <w:rFonts w:hint="eastAsia" w:ascii="黑体" w:hAnsi="黑体" w:eastAsia="黑体"/>
          <w:sz w:val="52"/>
          <w:szCs w:val="52"/>
        </w:rPr>
      </w:pPr>
      <w:bookmarkStart w:id="0" w:name="_Hlk194410252"/>
      <w:r>
        <w:rPr>
          <w:rFonts w:hint="eastAsia" w:ascii="黑体" w:hAnsi="黑体" w:eastAsia="黑体"/>
          <w:sz w:val="52"/>
          <w:szCs w:val="52"/>
        </w:rPr>
        <w:t>中共永吉县委机构编制委员会办公室</w:t>
      </w:r>
      <w:bookmarkEnd w:id="0"/>
      <w:r>
        <w:rPr>
          <w:rFonts w:hint="eastAsia" w:ascii="黑体" w:hAnsi="黑体" w:eastAsia="黑体"/>
          <w:sz w:val="52"/>
          <w:szCs w:val="52"/>
        </w:rPr>
        <w:t>2025年部门预算</w:t>
      </w:r>
    </w:p>
    <w:p w14:paraId="5C42AB12">
      <w:pPr>
        <w:jc w:val="center"/>
        <w:rPr>
          <w:rFonts w:hint="eastAsia" w:ascii="黑体" w:hAnsi="黑体" w:eastAsia="黑体"/>
          <w:sz w:val="44"/>
          <w:szCs w:val="44"/>
        </w:rPr>
      </w:pPr>
    </w:p>
    <w:p w14:paraId="5EF162CE">
      <w:pPr>
        <w:jc w:val="center"/>
        <w:rPr>
          <w:rFonts w:hint="eastAsia" w:ascii="黑体" w:hAnsi="黑体" w:eastAsia="黑体"/>
          <w:sz w:val="44"/>
          <w:szCs w:val="44"/>
        </w:rPr>
      </w:pPr>
    </w:p>
    <w:p w14:paraId="6D7738A2">
      <w:pPr>
        <w:jc w:val="center"/>
        <w:rPr>
          <w:rFonts w:hint="eastAsia" w:ascii="黑体" w:hAnsi="黑体" w:eastAsia="黑体"/>
          <w:sz w:val="44"/>
          <w:szCs w:val="44"/>
        </w:rPr>
      </w:pPr>
    </w:p>
    <w:p w14:paraId="1997C969">
      <w:pPr>
        <w:jc w:val="center"/>
        <w:rPr>
          <w:rFonts w:hint="eastAsia" w:ascii="黑体" w:hAnsi="黑体" w:eastAsia="黑体"/>
          <w:sz w:val="44"/>
          <w:szCs w:val="44"/>
        </w:rPr>
      </w:pPr>
    </w:p>
    <w:p w14:paraId="4F4ABFCB">
      <w:pPr>
        <w:jc w:val="center"/>
        <w:rPr>
          <w:rFonts w:hint="eastAsia" w:ascii="黑体" w:hAnsi="黑体" w:eastAsia="黑体"/>
          <w:sz w:val="44"/>
          <w:szCs w:val="44"/>
        </w:rPr>
      </w:pPr>
    </w:p>
    <w:p w14:paraId="6E03DA41">
      <w:pPr>
        <w:jc w:val="center"/>
        <w:rPr>
          <w:rFonts w:hint="eastAsia" w:ascii="黑体" w:hAnsi="黑体" w:eastAsia="黑体"/>
          <w:sz w:val="44"/>
          <w:szCs w:val="44"/>
        </w:rPr>
      </w:pPr>
    </w:p>
    <w:p w14:paraId="34D8D65D">
      <w:pPr>
        <w:jc w:val="center"/>
        <w:rPr>
          <w:rFonts w:hint="eastAsia" w:ascii="黑体" w:hAnsi="黑体" w:eastAsia="黑体"/>
          <w:sz w:val="44"/>
          <w:szCs w:val="44"/>
        </w:rPr>
      </w:pPr>
    </w:p>
    <w:p w14:paraId="01FD5D38">
      <w:pPr>
        <w:jc w:val="center"/>
        <w:rPr>
          <w:rFonts w:hint="eastAsia" w:ascii="黑体" w:hAnsi="黑体" w:eastAsia="黑体"/>
          <w:sz w:val="44"/>
          <w:szCs w:val="44"/>
        </w:rPr>
      </w:pPr>
    </w:p>
    <w:p w14:paraId="380AB34E">
      <w:pPr>
        <w:jc w:val="center"/>
        <w:rPr>
          <w:rFonts w:hint="eastAsia" w:ascii="黑体" w:hAnsi="黑体" w:eastAsia="黑体"/>
          <w:sz w:val="44"/>
          <w:szCs w:val="44"/>
        </w:rPr>
      </w:pPr>
    </w:p>
    <w:p w14:paraId="628D9189">
      <w:pPr>
        <w:jc w:val="center"/>
        <w:rPr>
          <w:rFonts w:hint="eastAsia" w:ascii="黑体" w:hAnsi="黑体" w:eastAsia="黑体"/>
          <w:sz w:val="44"/>
          <w:szCs w:val="44"/>
        </w:rPr>
      </w:pPr>
    </w:p>
    <w:p w14:paraId="6EA5914F">
      <w:pPr>
        <w:jc w:val="center"/>
        <w:rPr>
          <w:rFonts w:hint="eastAsia" w:ascii="黑体" w:hAnsi="黑体" w:eastAsia="黑体"/>
          <w:sz w:val="44"/>
          <w:szCs w:val="44"/>
        </w:rPr>
      </w:pPr>
      <w:r>
        <w:rPr>
          <w:rFonts w:hint="eastAsia" w:ascii="黑体" w:hAnsi="黑体" w:eastAsia="黑体"/>
          <w:sz w:val="44"/>
          <w:szCs w:val="44"/>
        </w:rPr>
        <w:t>二〇二五年四月一日</w:t>
      </w:r>
    </w:p>
    <w:p w14:paraId="2F1615F9">
      <w:pPr>
        <w:jc w:val="center"/>
        <w:rPr>
          <w:rFonts w:hint="eastAsia" w:ascii="黑体" w:hAnsi="黑体" w:eastAsia="黑体"/>
          <w:sz w:val="44"/>
          <w:szCs w:val="44"/>
        </w:rPr>
      </w:pPr>
    </w:p>
    <w:p w14:paraId="357EC0AC">
      <w:pPr>
        <w:jc w:val="center"/>
        <w:rPr>
          <w:rFonts w:hint="eastAsia" w:ascii="黑体" w:hAnsi="黑体" w:eastAsia="黑体"/>
          <w:sz w:val="44"/>
          <w:szCs w:val="44"/>
        </w:rPr>
      </w:pPr>
    </w:p>
    <w:p w14:paraId="661A2997">
      <w:pPr>
        <w:jc w:val="center"/>
        <w:rPr>
          <w:rFonts w:hint="eastAsia" w:ascii="黑体" w:hAnsi="黑体" w:eastAsia="黑体"/>
          <w:sz w:val="44"/>
          <w:szCs w:val="44"/>
        </w:rPr>
      </w:pPr>
    </w:p>
    <w:p w14:paraId="18C3CAAE">
      <w:pPr>
        <w:jc w:val="both"/>
        <w:rPr>
          <w:rFonts w:hint="eastAsia" w:ascii="黑体" w:hAnsi="黑体" w:eastAsia="黑体"/>
          <w:sz w:val="44"/>
          <w:szCs w:val="44"/>
        </w:rPr>
      </w:pPr>
    </w:p>
    <w:p w14:paraId="44339480">
      <w:pPr>
        <w:jc w:val="center"/>
        <w:rPr>
          <w:rFonts w:hint="eastAsia" w:ascii="黑体" w:hAnsi="黑体" w:eastAsia="黑体"/>
          <w:sz w:val="44"/>
          <w:szCs w:val="44"/>
        </w:rPr>
      </w:pPr>
      <w:r>
        <w:rPr>
          <w:rFonts w:hint="eastAsia" w:ascii="黑体" w:hAnsi="黑体" w:eastAsia="黑体"/>
          <w:sz w:val="44"/>
          <w:szCs w:val="44"/>
        </w:rPr>
        <w:t>中共永吉县委机构编制委员会办公室</w:t>
      </w:r>
    </w:p>
    <w:p w14:paraId="406F54B2">
      <w:pPr>
        <w:jc w:val="center"/>
        <w:rPr>
          <w:rFonts w:hint="eastAsia" w:ascii="黑体" w:hAnsi="黑体" w:eastAsia="黑体"/>
          <w:sz w:val="44"/>
          <w:szCs w:val="44"/>
        </w:rPr>
      </w:pPr>
      <w:r>
        <w:rPr>
          <w:rFonts w:hint="eastAsia" w:ascii="黑体" w:hAnsi="黑体" w:eastAsia="黑体"/>
          <w:sz w:val="44"/>
          <w:szCs w:val="44"/>
        </w:rPr>
        <w:t>2025年预算</w:t>
      </w:r>
    </w:p>
    <w:p w14:paraId="0DCA0350">
      <w:pPr>
        <w:jc w:val="center"/>
        <w:rPr>
          <w:rFonts w:hint="eastAsia" w:ascii="黑体" w:hAnsi="黑体" w:eastAsia="黑体"/>
          <w:sz w:val="44"/>
          <w:szCs w:val="44"/>
        </w:rPr>
      </w:pPr>
    </w:p>
    <w:p w14:paraId="63B0757E">
      <w:pPr>
        <w:tabs>
          <w:tab w:val="left" w:pos="3240"/>
        </w:tabs>
        <w:rPr>
          <w:rFonts w:hint="eastAsia"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hint="eastAsia"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0"/>
        </w:numPr>
        <w:ind w:firstLine="640" w:firstLineChars="200"/>
        <w:rPr>
          <w:rFonts w:hint="eastAsia" w:ascii="仿宋" w:hAnsi="仿宋" w:eastAsia="仿宋"/>
          <w:sz w:val="32"/>
          <w:szCs w:val="32"/>
        </w:rPr>
      </w:pPr>
      <w:r>
        <w:rPr>
          <w:rFonts w:hint="eastAsia" w:ascii="仿宋" w:hAnsi="仿宋" w:eastAsia="仿宋"/>
          <w:sz w:val="32"/>
          <w:szCs w:val="32"/>
          <w:lang w:val="en-US" w:eastAsia="zh-CN"/>
        </w:rPr>
        <w:t>一、</w:t>
      </w:r>
      <w:r>
        <w:rPr>
          <w:rFonts w:hint="eastAsia" w:ascii="仿宋" w:hAnsi="仿宋" w:eastAsia="仿宋"/>
          <w:sz w:val="32"/>
          <w:szCs w:val="32"/>
        </w:rPr>
        <w:t>主要职能</w:t>
      </w:r>
    </w:p>
    <w:p w14:paraId="0F6E16B9">
      <w:pPr>
        <w:pStyle w:val="8"/>
        <w:numPr>
          <w:ilvl w:val="0"/>
          <w:numId w:val="0"/>
        </w:numPr>
        <w:ind w:firstLine="640" w:firstLineChars="200"/>
        <w:rPr>
          <w:rFonts w:hint="eastAsia" w:ascii="仿宋" w:hAnsi="仿宋" w:eastAsia="仿宋"/>
          <w:sz w:val="32"/>
          <w:szCs w:val="32"/>
        </w:rPr>
      </w:pPr>
      <w:r>
        <w:rPr>
          <w:rFonts w:hint="eastAsia" w:ascii="仿宋" w:hAnsi="仿宋" w:eastAsia="仿宋"/>
          <w:sz w:val="32"/>
          <w:szCs w:val="32"/>
          <w:lang w:val="en-US" w:eastAsia="zh-CN"/>
        </w:rPr>
        <w:t>二、</w:t>
      </w:r>
      <w:r>
        <w:rPr>
          <w:rFonts w:hint="eastAsia" w:ascii="仿宋" w:hAnsi="仿宋" w:eastAsia="仿宋"/>
          <w:sz w:val="32"/>
          <w:szCs w:val="32"/>
        </w:rPr>
        <w:t>机构设置</w:t>
      </w:r>
    </w:p>
    <w:p w14:paraId="5EE08171">
      <w:pPr>
        <w:rPr>
          <w:rFonts w:hint="eastAsia" w:ascii="仿宋" w:hAnsi="仿宋" w:eastAsia="仿宋"/>
          <w:sz w:val="32"/>
          <w:szCs w:val="32"/>
        </w:rPr>
      </w:pPr>
      <w:r>
        <w:rPr>
          <w:rFonts w:hint="eastAsia" w:ascii="仿宋" w:hAnsi="仿宋" w:eastAsia="仿宋"/>
          <w:sz w:val="32"/>
          <w:szCs w:val="32"/>
        </w:rPr>
        <w:t>第二部分  情况说明</w:t>
      </w:r>
    </w:p>
    <w:p w14:paraId="6F11FF87">
      <w:pPr>
        <w:rPr>
          <w:rFonts w:hint="eastAsia" w:ascii="仿宋" w:hAnsi="仿宋" w:eastAsia="仿宋"/>
          <w:sz w:val="32"/>
          <w:szCs w:val="32"/>
        </w:rPr>
      </w:pPr>
      <w:r>
        <w:rPr>
          <w:rFonts w:hint="eastAsia" w:ascii="仿宋" w:hAnsi="仿宋" w:eastAsia="仿宋"/>
          <w:sz w:val="32"/>
          <w:szCs w:val="32"/>
        </w:rPr>
        <w:t xml:space="preserve">第三部分  名词解释 </w:t>
      </w:r>
    </w:p>
    <w:p w14:paraId="7BA36606">
      <w:pPr>
        <w:rPr>
          <w:rFonts w:hint="eastAsia"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收支总表</w:t>
      </w:r>
    </w:p>
    <w:p w14:paraId="257AF41A">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收入总表</w:t>
      </w:r>
    </w:p>
    <w:p w14:paraId="490A2BEB">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支出总表</w:t>
      </w:r>
    </w:p>
    <w:p w14:paraId="5F6425A5">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国有资本经营预算支出表</w:t>
      </w:r>
    </w:p>
    <w:p w14:paraId="549DAA5E">
      <w:pPr>
        <w:pStyle w:val="8"/>
        <w:numPr>
          <w:ilvl w:val="0"/>
          <w:numId w:val="1"/>
        </w:numPr>
        <w:ind w:firstLineChars="0"/>
        <w:rPr>
          <w:rFonts w:hint="eastAsia" w:ascii="仿宋" w:hAnsi="仿宋" w:eastAsia="仿宋"/>
          <w:sz w:val="32"/>
          <w:szCs w:val="32"/>
        </w:rPr>
      </w:pPr>
      <w:r>
        <w:rPr>
          <w:rFonts w:hint="eastAsia" w:ascii="仿宋" w:hAnsi="仿宋" w:eastAsia="仿宋"/>
          <w:sz w:val="32"/>
          <w:szCs w:val="32"/>
        </w:rPr>
        <w:t>项目支出表</w:t>
      </w:r>
    </w:p>
    <w:p w14:paraId="26658AC8">
      <w:pPr>
        <w:jc w:val="center"/>
        <w:rPr>
          <w:rFonts w:hint="eastAsia" w:ascii="黑体" w:hAnsi="黑体" w:eastAsia="黑体"/>
          <w:sz w:val="32"/>
          <w:szCs w:val="32"/>
        </w:rPr>
      </w:pPr>
    </w:p>
    <w:p w14:paraId="4E48F873">
      <w:pPr>
        <w:jc w:val="center"/>
        <w:rPr>
          <w:rFonts w:hint="eastAsia" w:ascii="黑体" w:hAnsi="黑体" w:eastAsia="黑体"/>
          <w:sz w:val="32"/>
          <w:szCs w:val="32"/>
        </w:rPr>
      </w:pPr>
      <w:r>
        <w:rPr>
          <w:rFonts w:hint="eastAsia" w:ascii="黑体" w:hAnsi="黑体" w:eastAsia="黑体"/>
          <w:sz w:val="32"/>
          <w:szCs w:val="32"/>
        </w:rPr>
        <w:t>第一部分    部门概况</w:t>
      </w:r>
    </w:p>
    <w:p w14:paraId="519B9A34">
      <w:pPr>
        <w:jc w:val="left"/>
        <w:rPr>
          <w:rFonts w:hint="eastAsia" w:ascii="仿宋" w:hAnsi="仿宋" w:eastAsia="仿宋"/>
          <w:sz w:val="32"/>
          <w:szCs w:val="32"/>
        </w:rPr>
      </w:pPr>
      <w:r>
        <w:rPr>
          <w:rFonts w:hint="eastAsia" w:ascii="仿宋" w:hAnsi="仿宋" w:eastAsia="仿宋"/>
          <w:sz w:val="32"/>
          <w:szCs w:val="32"/>
        </w:rPr>
        <w:t xml:space="preserve">  </w:t>
      </w:r>
    </w:p>
    <w:p w14:paraId="66AD7C00">
      <w:pPr>
        <w:ind w:firstLine="640" w:firstLineChars="200"/>
        <w:jc w:val="left"/>
        <w:rPr>
          <w:rFonts w:hint="eastAsia" w:ascii="黑体" w:hAnsi="黑体" w:eastAsia="黑体"/>
          <w:sz w:val="32"/>
          <w:szCs w:val="32"/>
        </w:rPr>
      </w:pPr>
      <w:r>
        <w:rPr>
          <w:rFonts w:hint="eastAsia" w:ascii="黑体" w:hAnsi="黑体" w:eastAsia="黑体"/>
          <w:sz w:val="32"/>
          <w:szCs w:val="32"/>
        </w:rPr>
        <w:t xml:space="preserve"> 一、主要职能</w:t>
      </w:r>
    </w:p>
    <w:p w14:paraId="388D13A4">
      <w:pPr>
        <w:pStyle w:val="10"/>
        <w:ind w:firstLine="640" w:firstLineChars="200"/>
        <w:rPr>
          <w:rFonts w:hint="eastAsia" w:ascii="仿宋" w:hAnsi="仿宋" w:eastAsia="仿宋"/>
          <w:bCs/>
          <w:sz w:val="32"/>
          <w:szCs w:val="32"/>
        </w:rPr>
      </w:pPr>
      <w:r>
        <w:rPr>
          <w:rFonts w:hint="eastAsia" w:ascii="仿宋" w:hAnsi="仿宋" w:eastAsia="仿宋"/>
          <w:bCs/>
          <w:sz w:val="32"/>
          <w:szCs w:val="32"/>
        </w:rPr>
        <w:t>单位名称：中共永吉县委机构编制委员会办公室</w:t>
      </w:r>
    </w:p>
    <w:p w14:paraId="17375C70">
      <w:pPr>
        <w:pStyle w:val="10"/>
        <w:ind w:firstLine="640" w:firstLineChars="200"/>
        <w:rPr>
          <w:rFonts w:hint="eastAsia" w:ascii="仿宋" w:hAnsi="仿宋" w:eastAsia="仿宋"/>
          <w:bCs/>
          <w:sz w:val="32"/>
          <w:szCs w:val="32"/>
        </w:rPr>
      </w:pPr>
      <w:r>
        <w:rPr>
          <w:rFonts w:hint="eastAsia" w:ascii="仿宋" w:hAnsi="仿宋" w:eastAsia="仿宋"/>
          <w:bCs/>
          <w:sz w:val="32"/>
          <w:szCs w:val="32"/>
        </w:rPr>
        <w:t>单位性质：行政单位</w:t>
      </w:r>
    </w:p>
    <w:p w14:paraId="41E1F0B5">
      <w:pPr>
        <w:pStyle w:val="10"/>
        <w:ind w:firstLine="640" w:firstLineChars="200"/>
        <w:rPr>
          <w:rFonts w:hint="eastAsia" w:ascii="仿宋" w:hAnsi="仿宋" w:eastAsia="仿宋"/>
          <w:bCs/>
          <w:sz w:val="32"/>
          <w:szCs w:val="32"/>
        </w:rPr>
      </w:pPr>
      <w:r>
        <w:rPr>
          <w:rFonts w:hint="eastAsia" w:ascii="仿宋" w:hAnsi="仿宋" w:eastAsia="仿宋"/>
          <w:bCs/>
          <w:sz w:val="32"/>
          <w:szCs w:val="32"/>
        </w:rPr>
        <w:t>主要职能和业务：</w:t>
      </w:r>
    </w:p>
    <w:p w14:paraId="3A9F3ABF">
      <w:pPr>
        <w:pStyle w:val="10"/>
        <w:ind w:firstLine="640" w:firstLineChars="200"/>
        <w:rPr>
          <w:rFonts w:hint="eastAsia" w:ascii="仿宋" w:hAnsi="仿宋" w:eastAsia="仿宋"/>
          <w:bCs/>
          <w:sz w:val="32"/>
          <w:szCs w:val="32"/>
        </w:rPr>
      </w:pPr>
      <w:r>
        <w:rPr>
          <w:rFonts w:hint="eastAsia" w:ascii="仿宋" w:hAnsi="仿宋" w:eastAsia="仿宋"/>
          <w:bCs/>
          <w:sz w:val="32"/>
          <w:szCs w:val="32"/>
        </w:rPr>
        <w:t>1.贯彻执行党中央、国务院和省、市关于行政管理体制和机构编制管理的政策法规；研究拟订全县机构编制管理的具体操作办法，统一管理全县各级党政机关、人大、政协、各民主党派、人民团体机关及事业单位的机构编制；负责县机构编制委员会的日常工作。</w:t>
      </w:r>
    </w:p>
    <w:p w14:paraId="099D83A9">
      <w:pPr>
        <w:pStyle w:val="10"/>
        <w:ind w:firstLine="640" w:firstLineChars="200"/>
        <w:rPr>
          <w:rFonts w:hint="eastAsia" w:ascii="仿宋" w:hAnsi="仿宋" w:eastAsia="仿宋"/>
          <w:bCs/>
          <w:sz w:val="32"/>
          <w:szCs w:val="32"/>
        </w:rPr>
      </w:pPr>
      <w:r>
        <w:rPr>
          <w:rFonts w:hint="eastAsia" w:ascii="仿宋" w:hAnsi="仿宋" w:eastAsia="仿宋"/>
          <w:bCs/>
          <w:sz w:val="32"/>
          <w:szCs w:val="32"/>
        </w:rPr>
        <w:t>2.研究全县行政管理体制和机构改革、事业单位机构改革以及相关领域涉及行政管理体制改革的重大问题，了解掌握相关动态，并提出意见和建议；参与协调相关部门涉及机构编制有关专项改革事宜。</w:t>
      </w:r>
    </w:p>
    <w:p w14:paraId="7AD0AECD">
      <w:pPr>
        <w:pStyle w:val="10"/>
        <w:ind w:firstLine="640" w:firstLineChars="200"/>
        <w:rPr>
          <w:rFonts w:hint="eastAsia" w:ascii="仿宋" w:hAnsi="仿宋" w:eastAsia="仿宋"/>
          <w:bCs/>
          <w:sz w:val="32"/>
          <w:szCs w:val="32"/>
        </w:rPr>
      </w:pPr>
      <w:r>
        <w:rPr>
          <w:rFonts w:hint="eastAsia" w:ascii="仿宋" w:hAnsi="仿宋" w:eastAsia="仿宋"/>
          <w:bCs/>
          <w:sz w:val="32"/>
          <w:szCs w:val="32"/>
        </w:rPr>
        <w:t>3.研究拟订全县行政管理体制和机构改革的总体方案和实施办法，经批准后组织实施；审核县直机关、乡镇（区）机构改革方案和各部门职能配置、内设机构和人员编制方案，并监督实施；协调县直各部门之间的职能配置及其调整,协调县直各部门与乡镇（区）之间的职责分工；研究拟订全县事业单位机构改革方案和实施办法，经批准后组织实施。</w:t>
      </w:r>
    </w:p>
    <w:p w14:paraId="32CEE875">
      <w:pPr>
        <w:pStyle w:val="10"/>
        <w:ind w:firstLine="640" w:firstLineChars="200"/>
        <w:rPr>
          <w:rFonts w:hint="eastAsia" w:ascii="仿宋" w:hAnsi="仿宋" w:eastAsia="仿宋"/>
          <w:bCs/>
          <w:sz w:val="32"/>
          <w:szCs w:val="32"/>
        </w:rPr>
      </w:pPr>
      <w:r>
        <w:rPr>
          <w:rFonts w:hint="eastAsia" w:ascii="仿宋" w:hAnsi="仿宋" w:eastAsia="仿宋"/>
          <w:bCs/>
          <w:sz w:val="32"/>
          <w:szCs w:val="32"/>
        </w:rPr>
        <w:t>4.根据省下达的行政编制总额,研究拟定县级编制分配使用方案，管理、分配乡（镇）、区和县直部门行政编制总额;贯彻执行省、市事业编制总额，负责单列编制及各类专项编制的分配与管理。</w:t>
      </w:r>
    </w:p>
    <w:p w14:paraId="46B89F41">
      <w:pPr>
        <w:pStyle w:val="10"/>
        <w:ind w:firstLine="640" w:firstLineChars="200"/>
        <w:rPr>
          <w:rFonts w:hint="eastAsia" w:ascii="仿宋" w:hAnsi="仿宋" w:eastAsia="仿宋"/>
          <w:bCs/>
          <w:sz w:val="32"/>
          <w:szCs w:val="32"/>
        </w:rPr>
      </w:pPr>
      <w:r>
        <w:rPr>
          <w:rFonts w:hint="eastAsia" w:ascii="仿宋" w:hAnsi="仿宋" w:eastAsia="仿宋"/>
          <w:bCs/>
          <w:sz w:val="32"/>
          <w:szCs w:val="32"/>
        </w:rPr>
        <w:t>5.负责审核全县股级事业单位的设立、调整、撤并、更名、挂牌；按照机构编制管理权限审核、审批全县事业单位的机构规格、内设机构、人员编制及领导职数、人员结构和经费渠道。</w:t>
      </w:r>
    </w:p>
    <w:p w14:paraId="33C256C8">
      <w:pPr>
        <w:pStyle w:val="10"/>
        <w:ind w:firstLine="640" w:firstLineChars="200"/>
        <w:rPr>
          <w:rFonts w:hint="eastAsia" w:ascii="仿宋" w:hAnsi="仿宋" w:eastAsia="仿宋"/>
          <w:bCs/>
          <w:sz w:val="32"/>
          <w:szCs w:val="32"/>
        </w:rPr>
      </w:pPr>
      <w:r>
        <w:rPr>
          <w:rFonts w:hint="eastAsia" w:ascii="仿宋" w:hAnsi="仿宋" w:eastAsia="仿宋"/>
          <w:bCs/>
          <w:sz w:val="32"/>
          <w:szCs w:val="32"/>
        </w:rPr>
        <w:t>6.负责监督检查全县各级党政机关、人大、政协、各民主党派、人民团体机关及事业单位贯彻执行国家和省、市有关行政管理体制、机构改革和机构编制管理方针、政策、法规情况；监督检查全县机构编制执行情况，对违反机构编制纪律的行为进行查处。</w:t>
      </w:r>
    </w:p>
    <w:p w14:paraId="41880C26">
      <w:pPr>
        <w:pStyle w:val="10"/>
        <w:ind w:firstLine="640" w:firstLineChars="200"/>
        <w:rPr>
          <w:rFonts w:hint="eastAsia" w:ascii="仿宋" w:hAnsi="仿宋" w:eastAsia="仿宋"/>
          <w:bCs/>
          <w:sz w:val="32"/>
          <w:szCs w:val="32"/>
        </w:rPr>
      </w:pPr>
      <w:r>
        <w:rPr>
          <w:rFonts w:hint="eastAsia" w:ascii="仿宋" w:hAnsi="仿宋" w:eastAsia="仿宋"/>
          <w:bCs/>
          <w:sz w:val="32"/>
          <w:szCs w:val="32"/>
        </w:rPr>
        <w:t>7.负责全县党政机关、人大、政协、各民主党派、人民团体机关及事业单位使用空编审批工作；协同有关部门拟定以编制为依据的增人计划，协同财政做好行政事业单位人员工资统一发放工作；负责全县的机构编制年度报表统计工作和编制、人事、财政综合管理系统数据维护工作。</w:t>
      </w:r>
    </w:p>
    <w:p w14:paraId="1B46F150">
      <w:pPr>
        <w:pStyle w:val="10"/>
        <w:ind w:firstLine="640" w:firstLineChars="200"/>
        <w:rPr>
          <w:rFonts w:hint="eastAsia" w:ascii="仿宋" w:hAnsi="仿宋" w:eastAsia="仿宋"/>
          <w:bCs/>
          <w:sz w:val="32"/>
          <w:szCs w:val="32"/>
        </w:rPr>
      </w:pPr>
      <w:r>
        <w:rPr>
          <w:rFonts w:hint="eastAsia" w:ascii="仿宋" w:hAnsi="仿宋" w:eastAsia="仿宋"/>
          <w:bCs/>
          <w:sz w:val="32"/>
          <w:szCs w:val="32"/>
        </w:rPr>
        <w:t>8.根据国家和省、市事业单位管理的有关法律、法规，研究拟定全县事业单位登记管理的具体实施办法并组织实施；负责全县事业单位法人资格的审核登记管理工作；监督全县事业单位贯彻落实事业单位登记管理的法律法规，调查处理登记管理中的违规事件；负责全县事业单位登记管理信息统计工作。</w:t>
      </w:r>
    </w:p>
    <w:p w14:paraId="0BA445EF">
      <w:pPr>
        <w:pStyle w:val="10"/>
        <w:ind w:firstLine="640" w:firstLineChars="200"/>
        <w:rPr>
          <w:rFonts w:hint="eastAsia" w:ascii="仿宋" w:hAnsi="仿宋" w:eastAsia="仿宋"/>
          <w:bCs/>
          <w:sz w:val="32"/>
          <w:szCs w:val="32"/>
        </w:rPr>
      </w:pPr>
      <w:r>
        <w:rPr>
          <w:rFonts w:hint="eastAsia" w:ascii="仿宋" w:hAnsi="仿宋" w:eastAsia="仿宋"/>
          <w:bCs/>
          <w:sz w:val="32"/>
          <w:szCs w:val="32"/>
        </w:rPr>
        <w:t>9.完成县委、县政府和上级机构编制管理部门交办的其他任务。</w:t>
      </w:r>
    </w:p>
    <w:p w14:paraId="6D752CA2">
      <w:pPr>
        <w:pStyle w:val="10"/>
        <w:widowControl/>
        <w:spacing w:line="620" w:lineRule="exact"/>
        <w:ind w:firstLine="640" w:firstLineChars="200"/>
        <w:contextualSpacing/>
        <w:rPr>
          <w:rFonts w:hint="eastAsia" w:ascii="黑体" w:hAnsi="黑体" w:eastAsia="黑体"/>
          <w:sz w:val="32"/>
          <w:szCs w:val="32"/>
        </w:rPr>
      </w:pPr>
      <w:r>
        <w:rPr>
          <w:rFonts w:hint="eastAsia" w:ascii="黑体" w:hAnsi="黑体" w:eastAsia="黑体"/>
          <w:sz w:val="32"/>
          <w:szCs w:val="32"/>
        </w:rPr>
        <w:t>二、机构设置</w:t>
      </w:r>
    </w:p>
    <w:p w14:paraId="7692B496">
      <w:pPr>
        <w:ind w:firstLine="640" w:firstLineChars="200"/>
        <w:jc w:val="left"/>
        <w:rPr>
          <w:rFonts w:hint="eastAsia" w:ascii="仿宋" w:hAnsi="仿宋" w:eastAsia="仿宋" w:cs="Times New Roman"/>
          <w:kern w:val="0"/>
          <w:sz w:val="32"/>
          <w:szCs w:val="32"/>
        </w:rPr>
      </w:pPr>
      <w:r>
        <w:rPr>
          <w:rFonts w:hint="eastAsia" w:ascii="仿宋" w:hAnsi="仿宋" w:eastAsia="仿宋" w:cs="Times New Roman"/>
          <w:kern w:val="0"/>
          <w:sz w:val="32"/>
          <w:szCs w:val="32"/>
        </w:rPr>
        <w:t>机构设置包括：中共永吉县委机构编制委员会办公室内设综合科、编制科、监督检查调研科、事业单位登记管理局4个机构，下设永吉县机构编制电子政务中心、永吉县机构编制档案馆2个事业单位。</w:t>
      </w:r>
    </w:p>
    <w:p w14:paraId="7526D600">
      <w:pPr>
        <w:ind w:firstLine="640" w:firstLineChars="200"/>
        <w:jc w:val="left"/>
        <w:rPr>
          <w:rFonts w:hint="eastAsia" w:ascii="仿宋" w:hAnsi="仿宋" w:eastAsia="仿宋" w:cs="Times New Roman"/>
          <w:kern w:val="0"/>
          <w:sz w:val="32"/>
          <w:szCs w:val="32"/>
        </w:rPr>
      </w:pPr>
      <w:r>
        <w:rPr>
          <w:rFonts w:hint="eastAsia" w:ascii="仿宋" w:hAnsi="仿宋" w:eastAsia="仿宋" w:cs="Times New Roman"/>
          <w:kern w:val="0"/>
          <w:sz w:val="32"/>
          <w:szCs w:val="32"/>
        </w:rPr>
        <w:t>人员情况：在职人员15人，编制数22名，领导职数3名。</w:t>
      </w:r>
    </w:p>
    <w:p w14:paraId="3F194C91">
      <w:pPr>
        <w:jc w:val="left"/>
        <w:rPr>
          <w:rFonts w:hint="eastAsia" w:ascii="仿宋" w:hAnsi="仿宋" w:eastAsia="仿宋"/>
          <w:sz w:val="32"/>
          <w:szCs w:val="32"/>
        </w:rPr>
      </w:pPr>
      <w:r>
        <w:rPr>
          <w:rFonts w:hint="eastAsia" w:ascii="仿宋" w:hAnsi="仿宋" w:eastAsia="仿宋"/>
          <w:sz w:val="32"/>
          <w:szCs w:val="32"/>
        </w:rPr>
        <w:t xml:space="preserve">   </w:t>
      </w:r>
    </w:p>
    <w:p w14:paraId="6731B470">
      <w:pPr>
        <w:jc w:val="left"/>
        <w:rPr>
          <w:rFonts w:hint="eastAsia" w:ascii="仿宋" w:hAnsi="仿宋" w:eastAsia="仿宋"/>
          <w:sz w:val="32"/>
          <w:szCs w:val="32"/>
        </w:rPr>
      </w:pPr>
    </w:p>
    <w:p w14:paraId="2327A84A">
      <w:pPr>
        <w:jc w:val="left"/>
        <w:rPr>
          <w:rFonts w:hint="eastAsia" w:ascii="仿宋" w:hAnsi="仿宋" w:eastAsia="仿宋"/>
          <w:sz w:val="32"/>
          <w:szCs w:val="32"/>
        </w:rPr>
      </w:pPr>
    </w:p>
    <w:p w14:paraId="30EC7C30">
      <w:pPr>
        <w:jc w:val="left"/>
        <w:rPr>
          <w:rFonts w:hint="eastAsia" w:ascii="仿宋" w:hAnsi="仿宋" w:eastAsia="仿宋"/>
          <w:sz w:val="32"/>
          <w:szCs w:val="32"/>
        </w:rPr>
      </w:pPr>
    </w:p>
    <w:p w14:paraId="22022DA2">
      <w:pPr>
        <w:jc w:val="left"/>
        <w:rPr>
          <w:rFonts w:hint="eastAsia" w:ascii="仿宋" w:hAnsi="仿宋" w:eastAsia="仿宋"/>
          <w:sz w:val="32"/>
          <w:szCs w:val="32"/>
        </w:rPr>
      </w:pPr>
    </w:p>
    <w:p w14:paraId="4494DF1B">
      <w:pPr>
        <w:jc w:val="left"/>
        <w:rPr>
          <w:rFonts w:hint="eastAsia" w:ascii="仿宋" w:hAnsi="仿宋" w:eastAsia="仿宋"/>
          <w:sz w:val="32"/>
          <w:szCs w:val="32"/>
        </w:rPr>
      </w:pPr>
    </w:p>
    <w:p w14:paraId="57CB687A">
      <w:pPr>
        <w:jc w:val="left"/>
        <w:rPr>
          <w:rFonts w:hint="eastAsia" w:ascii="仿宋" w:hAnsi="仿宋" w:eastAsia="仿宋"/>
          <w:sz w:val="32"/>
          <w:szCs w:val="32"/>
        </w:rPr>
      </w:pPr>
    </w:p>
    <w:p w14:paraId="00B77722">
      <w:pPr>
        <w:jc w:val="left"/>
        <w:rPr>
          <w:rFonts w:hint="eastAsia" w:ascii="仿宋" w:hAnsi="仿宋" w:eastAsia="仿宋"/>
          <w:sz w:val="32"/>
          <w:szCs w:val="32"/>
        </w:rPr>
      </w:pPr>
    </w:p>
    <w:p w14:paraId="546B2C04">
      <w:pPr>
        <w:jc w:val="center"/>
        <w:rPr>
          <w:rFonts w:hint="eastAsia" w:ascii="黑体" w:hAnsi="黑体" w:eastAsia="黑体"/>
          <w:sz w:val="32"/>
          <w:szCs w:val="32"/>
        </w:rPr>
      </w:pPr>
    </w:p>
    <w:p w14:paraId="6FD1930E">
      <w:pPr>
        <w:jc w:val="center"/>
        <w:rPr>
          <w:rFonts w:hint="eastAsia" w:ascii="黑体" w:hAnsi="黑体" w:eastAsia="黑体"/>
          <w:sz w:val="32"/>
          <w:szCs w:val="32"/>
        </w:rPr>
      </w:pPr>
    </w:p>
    <w:p w14:paraId="08C38348">
      <w:pPr>
        <w:jc w:val="center"/>
        <w:rPr>
          <w:rFonts w:hint="eastAsia" w:ascii="黑体" w:hAnsi="黑体" w:eastAsia="黑体"/>
          <w:sz w:val="32"/>
          <w:szCs w:val="32"/>
        </w:rPr>
      </w:pPr>
    </w:p>
    <w:p w14:paraId="2C22A24C">
      <w:pPr>
        <w:jc w:val="center"/>
        <w:rPr>
          <w:rFonts w:hint="eastAsia" w:ascii="黑体" w:hAnsi="黑体" w:eastAsia="黑体"/>
          <w:sz w:val="32"/>
          <w:szCs w:val="32"/>
        </w:rPr>
      </w:pPr>
    </w:p>
    <w:p w14:paraId="1F898DB3">
      <w:pPr>
        <w:jc w:val="center"/>
        <w:rPr>
          <w:rFonts w:hint="eastAsia" w:ascii="黑体" w:hAnsi="黑体" w:eastAsia="黑体"/>
          <w:sz w:val="32"/>
          <w:szCs w:val="32"/>
        </w:rPr>
      </w:pPr>
    </w:p>
    <w:p w14:paraId="590B4E73">
      <w:pPr>
        <w:jc w:val="center"/>
        <w:rPr>
          <w:rFonts w:hint="eastAsia" w:ascii="黑体" w:hAnsi="黑体" w:eastAsia="黑体"/>
          <w:sz w:val="32"/>
          <w:szCs w:val="32"/>
        </w:rPr>
      </w:pPr>
    </w:p>
    <w:p w14:paraId="653D2C6B">
      <w:pPr>
        <w:jc w:val="center"/>
        <w:rPr>
          <w:rFonts w:hint="eastAsia" w:ascii="黑体" w:hAnsi="黑体" w:eastAsia="黑体"/>
          <w:sz w:val="32"/>
          <w:szCs w:val="32"/>
        </w:rPr>
      </w:pPr>
      <w:r>
        <w:rPr>
          <w:rFonts w:hint="eastAsia" w:ascii="黑体" w:hAnsi="黑体" w:eastAsia="黑体"/>
          <w:sz w:val="32"/>
          <w:szCs w:val="32"/>
        </w:rPr>
        <w:t>第二部分  情况说明</w:t>
      </w:r>
    </w:p>
    <w:p w14:paraId="1A612949">
      <w:pPr>
        <w:jc w:val="left"/>
        <w:rPr>
          <w:rFonts w:hint="eastAsia" w:ascii="仿宋" w:hAnsi="仿宋" w:eastAsia="仿宋"/>
          <w:sz w:val="32"/>
          <w:szCs w:val="32"/>
        </w:rPr>
      </w:pPr>
      <w:r>
        <w:rPr>
          <w:rFonts w:hint="eastAsia" w:ascii="仿宋" w:hAnsi="仿宋" w:eastAsia="仿宋"/>
          <w:sz w:val="32"/>
          <w:szCs w:val="32"/>
        </w:rPr>
        <w:t xml:space="preserve"> </w:t>
      </w:r>
    </w:p>
    <w:p w14:paraId="14665F96">
      <w:pPr>
        <w:jc w:val="left"/>
        <w:rPr>
          <w:rFonts w:hint="eastAsia"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一、2025年收支预算总体情况</w:t>
      </w:r>
    </w:p>
    <w:p w14:paraId="790B2477">
      <w:pPr>
        <w:pStyle w:val="11"/>
        <w:ind w:firstLine="640" w:firstLineChars="200"/>
        <w:jc w:val="left"/>
        <w:rPr>
          <w:rFonts w:hint="eastAsia"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2025年收支总预算166.32万元，比2024年预算数204.96万元减少38.64万元，主要原因：行政人员退休</w:t>
      </w:r>
      <w:r>
        <w:rPr>
          <w:rFonts w:hint="eastAsia" w:ascii="仿宋" w:hAnsi="仿宋" w:eastAsia="仿宋"/>
          <w:sz w:val="32"/>
          <w:szCs w:val="32"/>
          <w:lang w:val="en-US" w:eastAsia="zh-CN"/>
        </w:rPr>
        <w:t>与</w:t>
      </w:r>
      <w:r>
        <w:rPr>
          <w:rFonts w:hint="eastAsia" w:ascii="仿宋" w:hAnsi="仿宋" w:eastAsia="仿宋"/>
          <w:sz w:val="32"/>
          <w:szCs w:val="32"/>
        </w:rPr>
        <w:t>调出</w:t>
      </w:r>
      <w:r>
        <w:rPr>
          <w:rFonts w:hint="eastAsia" w:ascii="仿宋" w:hAnsi="仿宋" w:eastAsia="仿宋"/>
          <w:sz w:val="32"/>
          <w:szCs w:val="32"/>
          <w:lang w:val="en-US" w:eastAsia="zh-CN"/>
        </w:rPr>
        <w:t>较多</w:t>
      </w:r>
      <w:r>
        <w:rPr>
          <w:rFonts w:hint="eastAsia" w:ascii="仿宋" w:hAnsi="仿宋" w:eastAsia="仿宋"/>
          <w:sz w:val="32"/>
          <w:szCs w:val="32"/>
          <w:lang w:eastAsia="zh-CN"/>
        </w:rPr>
        <w:t>，</w:t>
      </w:r>
      <w:r>
        <w:rPr>
          <w:rFonts w:hint="eastAsia" w:ascii="仿宋" w:hAnsi="仿宋" w:eastAsia="仿宋"/>
          <w:sz w:val="32"/>
          <w:szCs w:val="32"/>
          <w:lang w:val="en-US" w:eastAsia="zh-CN"/>
        </w:rPr>
        <w:t>工资与经费的收支都大幅减少</w:t>
      </w:r>
      <w:r>
        <w:rPr>
          <w:rFonts w:hint="eastAsia" w:ascii="仿宋" w:hAnsi="仿宋" w:eastAsia="仿宋"/>
          <w:sz w:val="32"/>
          <w:szCs w:val="32"/>
          <w:lang w:eastAsia="zh-CN"/>
        </w:rPr>
        <w:t>；</w:t>
      </w:r>
      <w:r>
        <w:rPr>
          <w:rFonts w:hint="eastAsia" w:ascii="仿宋" w:hAnsi="仿宋" w:eastAsia="仿宋"/>
          <w:sz w:val="32"/>
          <w:szCs w:val="32"/>
          <w:lang w:val="en-US" w:eastAsia="zh-CN"/>
        </w:rPr>
        <w:t>中文域名费用减少</w:t>
      </w:r>
      <w:r>
        <w:rPr>
          <w:rFonts w:hint="eastAsia" w:ascii="仿宋" w:hAnsi="仿宋" w:eastAsia="仿宋"/>
          <w:sz w:val="32"/>
          <w:szCs w:val="32"/>
        </w:rPr>
        <w:t>。</w:t>
      </w:r>
    </w:p>
    <w:p w14:paraId="0594D500">
      <w:pPr>
        <w:pStyle w:val="11"/>
        <w:jc w:val="left"/>
        <w:rPr>
          <w:rFonts w:hint="eastAsia"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二、2025年收入预算情况</w:t>
      </w:r>
    </w:p>
    <w:p w14:paraId="5BB9355F">
      <w:pPr>
        <w:pStyle w:val="11"/>
        <w:ind w:firstLine="640" w:firstLineChars="200"/>
        <w:jc w:val="left"/>
        <w:rPr>
          <w:rFonts w:hint="eastAsia" w:ascii="仿宋" w:hAnsi="仿宋" w:eastAsia="仿宋"/>
          <w:sz w:val="32"/>
          <w:szCs w:val="32"/>
        </w:rPr>
      </w:pPr>
      <w:r>
        <w:rPr>
          <w:rFonts w:hint="eastAsia" w:ascii="仿宋" w:hAnsi="仿宋" w:eastAsia="仿宋"/>
          <w:sz w:val="32"/>
          <w:szCs w:val="32"/>
        </w:rPr>
        <w:t>2025年本单位收入预算</w:t>
      </w:r>
      <w:bookmarkStart w:id="1" w:name="OLE_LINK1"/>
      <w:r>
        <w:rPr>
          <w:rFonts w:hint="eastAsia" w:ascii="仿宋" w:hAnsi="仿宋" w:eastAsia="仿宋"/>
          <w:sz w:val="32"/>
          <w:szCs w:val="32"/>
        </w:rPr>
        <w:t>166.32</w:t>
      </w:r>
      <w:bookmarkEnd w:id="1"/>
      <w:r>
        <w:rPr>
          <w:rFonts w:hint="eastAsia" w:ascii="仿宋" w:hAnsi="仿宋" w:eastAsia="仿宋"/>
          <w:sz w:val="32"/>
          <w:szCs w:val="32"/>
        </w:rPr>
        <w:t>万元，其中：一般公共预算收入166.32万元，占100%；无政府性基金收入。</w:t>
      </w:r>
    </w:p>
    <w:p w14:paraId="262A2F8F">
      <w:pPr>
        <w:pStyle w:val="11"/>
        <w:jc w:val="left"/>
        <w:rPr>
          <w:rFonts w:hint="eastAsia"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三、2025年支出预算情况</w:t>
      </w:r>
    </w:p>
    <w:p w14:paraId="25859D74">
      <w:pPr>
        <w:pStyle w:val="11"/>
        <w:ind w:firstLine="640" w:firstLineChars="200"/>
        <w:rPr>
          <w:rFonts w:hint="eastAsia" w:ascii="仿宋" w:hAnsi="仿宋" w:eastAsia="仿宋"/>
          <w:sz w:val="32"/>
          <w:szCs w:val="32"/>
        </w:rPr>
      </w:pPr>
      <w:r>
        <w:rPr>
          <w:rFonts w:hint="eastAsia" w:ascii="仿宋" w:hAnsi="仿宋" w:eastAsia="仿宋"/>
          <w:sz w:val="32"/>
          <w:szCs w:val="32"/>
        </w:rPr>
        <w:t>2025年支出预算166.32万元，其中：基本支出166.32万元，占100%；无项目支出。</w:t>
      </w:r>
    </w:p>
    <w:p w14:paraId="51040F2B">
      <w:pPr>
        <w:pStyle w:val="11"/>
        <w:ind w:firstLine="640" w:firstLineChars="200"/>
        <w:jc w:val="left"/>
        <w:rPr>
          <w:rFonts w:hint="eastAsia" w:ascii="楷体" w:hAnsi="楷体" w:eastAsia="楷体"/>
          <w:sz w:val="32"/>
          <w:szCs w:val="32"/>
        </w:rPr>
      </w:pPr>
      <w:r>
        <w:rPr>
          <w:rFonts w:hint="eastAsia" w:ascii="楷体" w:hAnsi="楷体" w:eastAsia="楷体"/>
          <w:sz w:val="32"/>
          <w:szCs w:val="32"/>
        </w:rPr>
        <w:t>四、2025年财政拨款收支预算情况</w:t>
      </w:r>
    </w:p>
    <w:p w14:paraId="032F5B2D">
      <w:pPr>
        <w:pStyle w:val="11"/>
        <w:ind w:firstLine="640" w:firstLineChars="200"/>
        <w:rPr>
          <w:rFonts w:hint="eastAsia" w:ascii="仿宋" w:hAnsi="仿宋" w:eastAsia="仿宋"/>
          <w:sz w:val="32"/>
          <w:szCs w:val="32"/>
        </w:rPr>
      </w:pPr>
      <w:r>
        <w:rPr>
          <w:rFonts w:hint="eastAsia" w:ascii="仿宋" w:hAnsi="仿宋" w:eastAsia="仿宋"/>
          <w:sz w:val="32"/>
          <w:szCs w:val="32"/>
        </w:rPr>
        <w:t>2025年财政拨款收支总预算166.32万元，其中：本年收入166.32万元。本年支出166.32万元，支出包括：一般公共服务支出135.06万元，社会保障和就业支出</w:t>
      </w:r>
      <w:bookmarkStart w:id="2" w:name="OLE_LINK2"/>
      <w:r>
        <w:rPr>
          <w:rFonts w:hint="eastAsia" w:ascii="仿宋" w:hAnsi="仿宋" w:eastAsia="仿宋"/>
          <w:sz w:val="32"/>
          <w:szCs w:val="32"/>
        </w:rPr>
        <w:t>17.46</w:t>
      </w:r>
      <w:bookmarkEnd w:id="2"/>
      <w:r>
        <w:rPr>
          <w:rFonts w:hint="eastAsia" w:ascii="仿宋" w:hAnsi="仿宋" w:eastAsia="仿宋"/>
          <w:sz w:val="32"/>
          <w:szCs w:val="32"/>
        </w:rPr>
        <w:t>万元，住房保障支出13.8</w:t>
      </w:r>
      <w:r>
        <w:rPr>
          <w:rFonts w:hint="eastAsia" w:ascii="仿宋" w:hAnsi="仿宋" w:eastAsia="仿宋"/>
          <w:sz w:val="32"/>
          <w:szCs w:val="32"/>
          <w:lang w:val="en-US" w:eastAsia="zh-CN"/>
        </w:rPr>
        <w:t>0</w:t>
      </w:r>
      <w:r>
        <w:rPr>
          <w:rFonts w:hint="eastAsia" w:ascii="仿宋" w:hAnsi="仿宋" w:eastAsia="仿宋"/>
          <w:sz w:val="32"/>
          <w:szCs w:val="32"/>
        </w:rPr>
        <w:t>万元。</w:t>
      </w:r>
    </w:p>
    <w:p w14:paraId="113EA7E6">
      <w:pPr>
        <w:pStyle w:val="11"/>
        <w:rPr>
          <w:rFonts w:hint="eastAsia"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五、2025</w:t>
      </w:r>
      <w:r>
        <w:rPr>
          <w:rFonts w:hint="eastAsia" w:ascii="楷体" w:hAnsi="楷体" w:eastAsia="楷体"/>
          <w:kern w:val="0"/>
          <w:sz w:val="32"/>
          <w:szCs w:val="32"/>
        </w:rPr>
        <w:t>年一般公共预算支出情况</w:t>
      </w:r>
    </w:p>
    <w:p w14:paraId="362C178E">
      <w:pPr>
        <w:ind w:firstLine="640" w:firstLineChars="200"/>
        <w:rPr>
          <w:rFonts w:hint="eastAsia" w:ascii="仿宋" w:hAnsi="仿宋" w:eastAsia="仿宋"/>
          <w:sz w:val="32"/>
          <w:szCs w:val="32"/>
        </w:rPr>
      </w:pPr>
      <w:r>
        <w:rPr>
          <w:rFonts w:hint="eastAsia" w:ascii="仿宋" w:hAnsi="仿宋" w:eastAsia="仿宋"/>
          <w:sz w:val="32"/>
          <w:szCs w:val="32"/>
        </w:rPr>
        <w:t>2025年一般公共预算当年拨款166.32万元，其中：基本支出166.32万元，占100%；无项目支出。基本支出中，人员经费152.13万元，占91.47%；公用经费14.19万元，占8.53%。</w:t>
      </w:r>
    </w:p>
    <w:p w14:paraId="7AE3769D">
      <w:pPr>
        <w:ind w:firstLine="640" w:firstLineChars="200"/>
        <w:rPr>
          <w:rFonts w:hint="eastAsia" w:ascii="仿宋" w:hAnsi="仿宋" w:eastAsia="仿宋"/>
          <w:sz w:val="32"/>
          <w:szCs w:val="32"/>
        </w:rPr>
      </w:pPr>
      <w:r>
        <w:rPr>
          <w:rFonts w:hint="eastAsia" w:ascii="仿宋" w:hAnsi="仿宋" w:eastAsia="仿宋"/>
          <w:sz w:val="32"/>
          <w:szCs w:val="32"/>
        </w:rPr>
        <w:t>一般公共服务（类）支出135.06万元，占81.2%，主要用于：人员经费和公用经费。</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社会保障和就业（类）支出17.46万元，占10.5%，主要用于：缴纳人员各类保险。</w:t>
      </w:r>
    </w:p>
    <w:p w14:paraId="66FC86CC">
      <w:pPr>
        <w:ind w:firstLine="640" w:firstLineChars="200"/>
        <w:rPr>
          <w:rFonts w:hint="eastAsia" w:ascii="仿宋" w:hAnsi="仿宋" w:eastAsia="仿宋"/>
          <w:sz w:val="32"/>
          <w:szCs w:val="32"/>
        </w:rPr>
      </w:pPr>
      <w:r>
        <w:rPr>
          <w:rFonts w:hint="eastAsia" w:ascii="仿宋" w:hAnsi="仿宋" w:eastAsia="仿宋"/>
          <w:sz w:val="32"/>
          <w:szCs w:val="32"/>
        </w:rPr>
        <w:t>卫生健康（类）支出0万元，占0%。</w:t>
      </w:r>
    </w:p>
    <w:p w14:paraId="752A0F73">
      <w:pPr>
        <w:ind w:firstLine="640" w:firstLineChars="200"/>
        <w:rPr>
          <w:rFonts w:hint="eastAsia" w:ascii="仿宋" w:hAnsi="仿宋" w:eastAsia="仿宋"/>
          <w:sz w:val="32"/>
          <w:szCs w:val="32"/>
        </w:rPr>
      </w:pPr>
      <w:r>
        <w:rPr>
          <w:rFonts w:hint="eastAsia" w:ascii="仿宋" w:hAnsi="仿宋" w:eastAsia="仿宋"/>
          <w:sz w:val="32"/>
          <w:szCs w:val="32"/>
        </w:rPr>
        <w:t>住房保障（类）支出13.8</w:t>
      </w:r>
      <w:r>
        <w:rPr>
          <w:rFonts w:hint="eastAsia" w:ascii="仿宋" w:hAnsi="仿宋" w:eastAsia="仿宋"/>
          <w:sz w:val="32"/>
          <w:szCs w:val="32"/>
          <w:lang w:val="en-US" w:eastAsia="zh-CN"/>
        </w:rPr>
        <w:t>0</w:t>
      </w:r>
      <w:r>
        <w:rPr>
          <w:rFonts w:hint="eastAsia" w:ascii="仿宋" w:hAnsi="仿宋" w:eastAsia="仿宋"/>
          <w:sz w:val="32"/>
          <w:szCs w:val="32"/>
        </w:rPr>
        <w:t>万元，占8.3%，主要用于：缴纳住房公积金。</w:t>
      </w:r>
    </w:p>
    <w:p w14:paraId="1D655B29">
      <w:pPr>
        <w:pStyle w:val="9"/>
        <w:ind w:firstLine="640" w:firstLineChars="200"/>
        <w:rPr>
          <w:rFonts w:hint="eastAsia" w:ascii="楷体" w:hAnsi="楷体" w:eastAsia="楷体"/>
          <w:kern w:val="0"/>
          <w:sz w:val="32"/>
          <w:szCs w:val="32"/>
        </w:rPr>
      </w:pPr>
      <w:r>
        <w:rPr>
          <w:rFonts w:hint="eastAsia" w:ascii="楷体" w:hAnsi="楷体" w:eastAsia="楷体"/>
          <w:kern w:val="0"/>
          <w:sz w:val="32"/>
          <w:szCs w:val="32"/>
        </w:rPr>
        <w:t>六、2025年一般公共预算基本支出情况</w:t>
      </w:r>
    </w:p>
    <w:p w14:paraId="28556014">
      <w:pPr>
        <w:ind w:firstLine="640" w:firstLineChars="200"/>
        <w:rPr>
          <w:rFonts w:hint="eastAsia" w:ascii="仿宋" w:hAnsi="仿宋" w:eastAsia="仿宋"/>
          <w:sz w:val="32"/>
          <w:szCs w:val="32"/>
        </w:rPr>
      </w:pPr>
      <w:r>
        <w:rPr>
          <w:rFonts w:hint="eastAsia" w:ascii="仿宋" w:hAnsi="仿宋" w:eastAsia="仿宋"/>
          <w:sz w:val="32"/>
          <w:szCs w:val="32"/>
        </w:rPr>
        <w:t>2025年一般公共预算基本支出135.06万元，其中：</w:t>
      </w:r>
    </w:p>
    <w:p w14:paraId="03F48596">
      <w:pPr>
        <w:ind w:firstLine="640" w:firstLineChars="200"/>
        <w:rPr>
          <w:rFonts w:hint="eastAsia" w:ascii="仿宋" w:hAnsi="仿宋" w:eastAsia="仿宋"/>
          <w:sz w:val="32"/>
          <w:szCs w:val="32"/>
        </w:rPr>
      </w:pPr>
      <w:r>
        <w:rPr>
          <w:rFonts w:hint="eastAsia" w:ascii="仿宋" w:hAnsi="仿宋" w:eastAsia="仿宋"/>
          <w:sz w:val="32"/>
          <w:szCs w:val="32"/>
        </w:rPr>
        <w:t>人员经费120.88万元，主要包括：基本工资、津贴补贴、奖金、绩效工资、机关事业单位基本养老保险缴费、职工基本医疗保险缴费、其他社会保障缴费、住房公积金、其他工资福利支出、离退休费、生活补助、其他对个人和家庭补助支出等；</w:t>
      </w:r>
    </w:p>
    <w:p w14:paraId="5C92AD13">
      <w:pPr>
        <w:pStyle w:val="9"/>
        <w:ind w:firstLine="627" w:firstLineChars="196"/>
        <w:rPr>
          <w:rFonts w:hint="eastAsia" w:ascii="仿宋" w:hAnsi="仿宋" w:eastAsia="仿宋"/>
          <w:kern w:val="0"/>
          <w:sz w:val="32"/>
          <w:szCs w:val="32"/>
        </w:rPr>
      </w:pPr>
      <w:r>
        <w:rPr>
          <w:rFonts w:hint="eastAsia" w:ascii="仿宋" w:hAnsi="仿宋" w:eastAsia="仿宋"/>
          <w:sz w:val="32"/>
          <w:szCs w:val="32"/>
        </w:rPr>
        <w:t>公用经费</w:t>
      </w:r>
      <w:bookmarkStart w:id="3" w:name="OLE_LINK3"/>
      <w:r>
        <w:rPr>
          <w:rFonts w:hint="eastAsia" w:ascii="仿宋" w:hAnsi="仿宋" w:eastAsia="仿宋"/>
          <w:sz w:val="32"/>
          <w:szCs w:val="32"/>
        </w:rPr>
        <w:t>14.18</w:t>
      </w:r>
      <w:bookmarkEnd w:id="3"/>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hint="eastAsia" w:ascii="楷体" w:hAnsi="楷体" w:eastAsia="楷体"/>
          <w:kern w:val="0"/>
          <w:sz w:val="32"/>
          <w:szCs w:val="32"/>
        </w:rPr>
      </w:pPr>
      <w:r>
        <w:rPr>
          <w:rFonts w:hint="eastAsia" w:ascii="楷体" w:hAnsi="楷体" w:eastAsia="楷体"/>
          <w:kern w:val="0"/>
          <w:sz w:val="32"/>
          <w:szCs w:val="32"/>
        </w:rPr>
        <w:t>七、2025年一般公共预算财政拨款“三公经费”情况</w:t>
      </w:r>
    </w:p>
    <w:p w14:paraId="2E6FDB1A">
      <w:pPr>
        <w:pStyle w:val="9"/>
        <w:ind w:firstLine="627" w:firstLineChars="196"/>
        <w:rPr>
          <w:rFonts w:ascii="仿宋" w:hAnsi="仿宋" w:eastAsia="仿宋"/>
          <w:kern w:val="0"/>
          <w:sz w:val="32"/>
          <w:szCs w:val="32"/>
        </w:rPr>
      </w:pPr>
      <w:r>
        <w:rPr>
          <w:rFonts w:hint="eastAsia" w:ascii="仿宋" w:hAnsi="仿宋" w:eastAsia="仿宋"/>
          <w:kern w:val="0"/>
          <w:sz w:val="32"/>
          <w:szCs w:val="32"/>
        </w:rPr>
        <w:t>2025年“三公”经费预算数2700万元，比2024年预算减少0万元。其中：</w:t>
      </w:r>
    </w:p>
    <w:p w14:paraId="1D80E58E">
      <w:pPr>
        <w:pStyle w:val="9"/>
        <w:ind w:firstLine="640" w:firstLineChars="200"/>
        <w:rPr>
          <w:rFonts w:ascii="仿宋" w:hAnsi="仿宋" w:eastAsia="仿宋"/>
          <w:kern w:val="0"/>
          <w:sz w:val="32"/>
          <w:szCs w:val="32"/>
        </w:rPr>
      </w:pPr>
      <w:r>
        <w:rPr>
          <w:rFonts w:hint="eastAsia" w:ascii="仿宋" w:hAnsi="仿宋" w:eastAsia="仿宋"/>
          <w:kern w:val="0"/>
          <w:sz w:val="32"/>
          <w:szCs w:val="32"/>
        </w:rPr>
        <w:t>1.因公出国（境）费0万元，与2024年预算数相同。</w:t>
      </w:r>
    </w:p>
    <w:p w14:paraId="74F329F6">
      <w:pPr>
        <w:pStyle w:val="9"/>
        <w:ind w:firstLine="627" w:firstLineChars="196"/>
        <w:rPr>
          <w:rFonts w:hint="eastAsia" w:ascii="仿宋" w:hAnsi="仿宋" w:eastAsia="仿宋"/>
          <w:kern w:val="0"/>
          <w:sz w:val="32"/>
          <w:szCs w:val="32"/>
        </w:rPr>
      </w:pPr>
      <w:r>
        <w:rPr>
          <w:rFonts w:hint="eastAsia" w:ascii="仿宋" w:hAnsi="仿宋" w:eastAsia="仿宋"/>
          <w:kern w:val="0"/>
          <w:sz w:val="32"/>
          <w:szCs w:val="32"/>
        </w:rPr>
        <w:t>2.公务接待费2700万元，比2024年预算数减少0万元。</w:t>
      </w:r>
    </w:p>
    <w:p w14:paraId="5BE3B9DF">
      <w:pPr>
        <w:pStyle w:val="9"/>
        <w:ind w:firstLine="640" w:firstLineChars="200"/>
        <w:rPr>
          <w:rFonts w:hint="eastAsia" w:ascii="仿宋" w:hAnsi="仿宋" w:eastAsia="仿宋"/>
          <w:kern w:val="0"/>
          <w:sz w:val="32"/>
          <w:szCs w:val="32"/>
        </w:rPr>
      </w:pPr>
      <w:r>
        <w:rPr>
          <w:rFonts w:hint="eastAsia" w:ascii="仿宋" w:hAnsi="仿宋" w:eastAsia="仿宋"/>
          <w:kern w:val="0"/>
          <w:sz w:val="32"/>
          <w:szCs w:val="32"/>
        </w:rPr>
        <w:t xml:space="preserve">3.公务用车购置及运行费0万元，比2024年预算数减少0万元。其中，公务用车运行维护费0万元，比2024年减少0万元，公务用车购置0万元，比2024年减少0万元。 </w:t>
      </w:r>
    </w:p>
    <w:p w14:paraId="60353E9A">
      <w:pPr>
        <w:pStyle w:val="9"/>
        <w:rPr>
          <w:rFonts w:hint="eastAsia"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八、2025年政府性基金预算支出情况</w:t>
      </w:r>
    </w:p>
    <w:p w14:paraId="6CFED0B9">
      <w:pPr>
        <w:ind w:firstLine="640" w:firstLineChars="200"/>
        <w:jc w:val="left"/>
        <w:rPr>
          <w:rFonts w:hint="eastAsia" w:ascii="仿宋" w:hAnsi="仿宋" w:eastAsia="仿宋"/>
          <w:sz w:val="32"/>
          <w:szCs w:val="32"/>
        </w:rPr>
      </w:pPr>
      <w:r>
        <w:rPr>
          <w:rFonts w:hint="eastAsia" w:ascii="仿宋" w:hAnsi="仿宋" w:eastAsia="仿宋"/>
          <w:sz w:val="32"/>
          <w:szCs w:val="32"/>
        </w:rPr>
        <w:t xml:space="preserve"> 2025年本单位无政府性基金预算支出。</w:t>
      </w:r>
    </w:p>
    <w:p w14:paraId="39906816">
      <w:pPr>
        <w:pStyle w:val="9"/>
        <w:ind w:firstLine="640"/>
        <w:rPr>
          <w:rFonts w:hint="eastAsia" w:ascii="楷体" w:hAnsi="楷体" w:eastAsia="楷体" w:cs="楷体"/>
          <w:sz w:val="32"/>
          <w:szCs w:val="32"/>
        </w:rPr>
      </w:pPr>
      <w:r>
        <w:rPr>
          <w:rFonts w:hint="eastAsia" w:ascii="楷体" w:hAnsi="楷体" w:eastAsia="楷体" w:cs="楷体"/>
          <w:sz w:val="32"/>
          <w:szCs w:val="32"/>
        </w:rPr>
        <w:t>九、2025年国有资本经营预算支出情况</w:t>
      </w:r>
    </w:p>
    <w:p w14:paraId="78271549">
      <w:pPr>
        <w:ind w:firstLine="640" w:firstLineChars="200"/>
        <w:jc w:val="left"/>
        <w:rPr>
          <w:rFonts w:hint="eastAsia" w:ascii="仿宋" w:hAnsi="仿宋" w:eastAsia="仿宋"/>
          <w:sz w:val="32"/>
          <w:szCs w:val="32"/>
        </w:rPr>
      </w:pPr>
      <w:r>
        <w:rPr>
          <w:rFonts w:hint="eastAsia" w:ascii="仿宋" w:hAnsi="仿宋" w:eastAsia="仿宋"/>
          <w:sz w:val="32"/>
          <w:szCs w:val="32"/>
        </w:rPr>
        <w:t>2025年本单位无国有资本经营预算支出。</w:t>
      </w:r>
    </w:p>
    <w:p w14:paraId="028EDDC6">
      <w:pPr>
        <w:numPr>
          <w:ilvl w:val="0"/>
          <w:numId w:val="2"/>
        </w:numPr>
        <w:jc w:val="left"/>
        <w:rPr>
          <w:rFonts w:hint="eastAsia"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hint="eastAsia"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hint="eastAsia" w:ascii="仿宋" w:hAnsi="仿宋" w:eastAsia="仿宋"/>
          <w:sz w:val="32"/>
          <w:szCs w:val="32"/>
        </w:rPr>
      </w:pPr>
      <w:r>
        <w:rPr>
          <w:rFonts w:hint="eastAsia" w:ascii="仿宋" w:hAnsi="仿宋" w:eastAsia="仿宋"/>
          <w:sz w:val="32"/>
          <w:szCs w:val="32"/>
        </w:rPr>
        <w:t>2025年本单位机关运行经费财政拨款预算14.18万元，比2024年预算减少8.05万元，下降36.21%，主要原因是行政人员减少3人，车补、办公费、工会会费等减少</w:t>
      </w:r>
      <w:r>
        <w:rPr>
          <w:rFonts w:hint="eastAsia" w:ascii="仿宋" w:hAnsi="仿宋" w:eastAsia="仿宋"/>
          <w:sz w:val="32"/>
          <w:szCs w:val="32"/>
          <w:lang w:eastAsia="zh-CN"/>
        </w:rPr>
        <w:t>；</w:t>
      </w:r>
      <w:r>
        <w:rPr>
          <w:rFonts w:hint="eastAsia" w:ascii="仿宋" w:hAnsi="仿宋" w:eastAsia="仿宋"/>
          <w:sz w:val="32"/>
          <w:szCs w:val="32"/>
          <w:lang w:val="en-US" w:eastAsia="zh-CN"/>
        </w:rPr>
        <w:t>中文域名费用减少</w:t>
      </w:r>
      <w:r>
        <w:rPr>
          <w:rFonts w:hint="eastAsia" w:ascii="仿宋" w:hAnsi="仿宋" w:eastAsia="仿宋"/>
          <w:sz w:val="32"/>
          <w:szCs w:val="32"/>
        </w:rPr>
        <w:t>。</w:t>
      </w:r>
    </w:p>
    <w:p w14:paraId="3C4DC5AB">
      <w:pPr>
        <w:ind w:firstLine="640" w:firstLineChars="200"/>
        <w:jc w:val="left"/>
        <w:rPr>
          <w:rFonts w:hint="eastAsia" w:ascii="楷体" w:hAnsi="楷体" w:eastAsia="楷体"/>
          <w:sz w:val="32"/>
          <w:szCs w:val="32"/>
        </w:rPr>
      </w:pPr>
      <w:r>
        <w:rPr>
          <w:rFonts w:hint="eastAsia" w:ascii="楷体" w:hAnsi="楷体" w:eastAsia="楷体"/>
          <w:sz w:val="32"/>
          <w:szCs w:val="32"/>
        </w:rPr>
        <w:t>（二）政府采购情况</w:t>
      </w:r>
    </w:p>
    <w:p w14:paraId="5E4EE068">
      <w:pPr>
        <w:pStyle w:val="9"/>
        <w:ind w:firstLine="627" w:firstLineChars="196"/>
        <w:rPr>
          <w:rFonts w:hint="eastAsia" w:ascii="仿宋" w:hAnsi="仿宋" w:eastAsia="仿宋"/>
          <w:kern w:val="0"/>
          <w:sz w:val="32"/>
          <w:szCs w:val="32"/>
        </w:rPr>
      </w:pPr>
      <w:r>
        <w:rPr>
          <w:rFonts w:hint="eastAsia" w:ascii="仿宋" w:hAnsi="仿宋" w:eastAsia="仿宋"/>
          <w:sz w:val="32"/>
          <w:szCs w:val="32"/>
        </w:rPr>
        <w:t>2025年无政府采购预算，</w:t>
      </w:r>
      <w:r>
        <w:rPr>
          <w:rFonts w:hint="eastAsia" w:ascii="仿宋" w:hAnsi="仿宋" w:eastAsia="仿宋"/>
          <w:kern w:val="0"/>
          <w:sz w:val="32"/>
          <w:szCs w:val="32"/>
        </w:rPr>
        <w:t>其中：政府采购办公设备和其他设备预算0万元，政府采购工程预算0万元，政府采购服务预算0万元。</w:t>
      </w:r>
    </w:p>
    <w:p w14:paraId="32E1CB5D">
      <w:pPr>
        <w:jc w:val="left"/>
        <w:rPr>
          <w:rFonts w:hint="eastAsia"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5C13C205">
      <w:pPr>
        <w:pStyle w:val="8"/>
        <w:ind w:firstLine="640"/>
        <w:rPr>
          <w:rFonts w:ascii="仿宋" w:hAnsi="仿宋" w:eastAsia="仿宋"/>
          <w:sz w:val="32"/>
          <w:szCs w:val="32"/>
        </w:rPr>
      </w:pPr>
      <w:r>
        <w:rPr>
          <w:rFonts w:hint="eastAsia" w:ascii="仿宋" w:hAnsi="仿宋" w:eastAsia="仿宋"/>
          <w:sz w:val="32"/>
          <w:szCs w:val="32"/>
        </w:rPr>
        <w:t>截至2025年1月，部门本级和所属各预算单位无车辆，其中，领导干部用车0辆、一般公务用车0辆,一般执法执勤用车0辆、特种专业技术用车0辆、其他用车0辆，价值200万元以上大型设备0台（套）。</w:t>
      </w:r>
    </w:p>
    <w:p w14:paraId="30DD5A4A">
      <w:pPr>
        <w:pStyle w:val="8"/>
        <w:ind w:firstLine="640"/>
        <w:rPr>
          <w:rFonts w:hint="eastAsia" w:ascii="仿宋" w:hAnsi="仿宋" w:eastAsia="仿宋"/>
          <w:sz w:val="32"/>
          <w:szCs w:val="32"/>
        </w:rPr>
      </w:pPr>
      <w:r>
        <w:rPr>
          <w:rFonts w:hint="eastAsia" w:ascii="仿宋" w:hAnsi="仿宋" w:eastAsia="仿宋"/>
          <w:sz w:val="32"/>
          <w:szCs w:val="32"/>
        </w:rPr>
        <w:t>2025年部门预算安排购置车辆及价值200万元以上大型设备0万元。</w:t>
      </w:r>
    </w:p>
    <w:p w14:paraId="6C4F4062">
      <w:pPr>
        <w:numPr>
          <w:ilvl w:val="0"/>
          <w:numId w:val="3"/>
        </w:numPr>
        <w:ind w:firstLine="640"/>
        <w:jc w:val="left"/>
        <w:rPr>
          <w:rFonts w:hint="eastAsia" w:ascii="楷体" w:hAnsi="楷体" w:eastAsia="楷体"/>
          <w:sz w:val="32"/>
          <w:szCs w:val="32"/>
        </w:rPr>
      </w:pPr>
      <w:r>
        <w:rPr>
          <w:rFonts w:hint="eastAsia" w:ascii="楷体" w:hAnsi="楷体" w:eastAsia="楷体"/>
          <w:sz w:val="32"/>
          <w:szCs w:val="32"/>
        </w:rPr>
        <w:t>预算项目绩效目标管理情况</w:t>
      </w:r>
    </w:p>
    <w:p w14:paraId="0246BC03">
      <w:pPr>
        <w:jc w:val="both"/>
        <w:rPr>
          <w:rFonts w:hint="eastAsia"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按照全面实施预算绩效管理的要求，结合本部门职能和重点工作，2025年除部门整体支出外，无项目支出绩效。现将部门整体支出绩效的目标和指标向社会公开，涉及金额166.32万元。</w:t>
      </w:r>
    </w:p>
    <w:p w14:paraId="2A5558C3">
      <w:pPr>
        <w:jc w:val="left"/>
        <w:rPr>
          <w:rFonts w:hint="eastAsia" w:ascii="仿宋" w:hAnsi="仿宋" w:eastAsia="仿宋"/>
          <w:sz w:val="32"/>
          <w:szCs w:val="32"/>
        </w:rPr>
      </w:pPr>
    </w:p>
    <w:p w14:paraId="2A7F4A55">
      <w:pPr>
        <w:jc w:val="left"/>
        <w:rPr>
          <w:rFonts w:hint="eastAsia" w:ascii="仿宋" w:hAnsi="仿宋" w:eastAsia="仿宋"/>
          <w:sz w:val="32"/>
          <w:szCs w:val="32"/>
        </w:rPr>
      </w:pPr>
    </w:p>
    <w:p w14:paraId="4882739C">
      <w:pPr>
        <w:jc w:val="left"/>
        <w:rPr>
          <w:rFonts w:ascii="仿宋" w:hAnsi="仿宋" w:eastAsia="仿宋"/>
          <w:sz w:val="32"/>
          <w:szCs w:val="32"/>
        </w:rPr>
      </w:pPr>
    </w:p>
    <w:p w14:paraId="4702A1EA">
      <w:pPr>
        <w:jc w:val="left"/>
        <w:rPr>
          <w:rFonts w:ascii="仿宋" w:hAnsi="仿宋" w:eastAsia="仿宋"/>
          <w:sz w:val="32"/>
          <w:szCs w:val="32"/>
        </w:rPr>
      </w:pPr>
    </w:p>
    <w:p w14:paraId="67E8B0E4">
      <w:pPr>
        <w:jc w:val="left"/>
        <w:rPr>
          <w:rFonts w:ascii="仿宋" w:hAnsi="仿宋" w:eastAsia="仿宋"/>
          <w:sz w:val="32"/>
          <w:szCs w:val="32"/>
        </w:rPr>
      </w:pPr>
    </w:p>
    <w:p w14:paraId="29E482B6">
      <w:pPr>
        <w:jc w:val="left"/>
        <w:rPr>
          <w:rFonts w:ascii="仿宋" w:hAnsi="仿宋" w:eastAsia="仿宋"/>
          <w:sz w:val="32"/>
          <w:szCs w:val="32"/>
        </w:rPr>
      </w:pPr>
    </w:p>
    <w:p w14:paraId="01365B09">
      <w:pPr>
        <w:jc w:val="left"/>
        <w:rPr>
          <w:rFonts w:ascii="仿宋" w:hAnsi="仿宋" w:eastAsia="仿宋"/>
          <w:sz w:val="32"/>
          <w:szCs w:val="32"/>
        </w:rPr>
      </w:pPr>
    </w:p>
    <w:p w14:paraId="010D475D">
      <w:pPr>
        <w:jc w:val="left"/>
        <w:rPr>
          <w:rFonts w:ascii="仿宋" w:hAnsi="仿宋" w:eastAsia="仿宋"/>
          <w:sz w:val="32"/>
          <w:szCs w:val="32"/>
        </w:rPr>
      </w:pPr>
    </w:p>
    <w:p w14:paraId="007C1136">
      <w:pPr>
        <w:jc w:val="left"/>
        <w:rPr>
          <w:rFonts w:ascii="仿宋" w:hAnsi="仿宋" w:eastAsia="仿宋"/>
          <w:sz w:val="32"/>
          <w:szCs w:val="32"/>
        </w:rPr>
      </w:pPr>
    </w:p>
    <w:p w14:paraId="01399F23">
      <w:pPr>
        <w:jc w:val="left"/>
        <w:rPr>
          <w:rFonts w:ascii="仿宋" w:hAnsi="仿宋" w:eastAsia="仿宋"/>
          <w:sz w:val="32"/>
          <w:szCs w:val="32"/>
        </w:rPr>
      </w:pPr>
    </w:p>
    <w:p w14:paraId="3E36D2AE">
      <w:pPr>
        <w:jc w:val="left"/>
        <w:rPr>
          <w:rFonts w:ascii="仿宋" w:hAnsi="仿宋" w:eastAsia="仿宋"/>
          <w:sz w:val="32"/>
          <w:szCs w:val="32"/>
        </w:rPr>
      </w:pPr>
    </w:p>
    <w:p w14:paraId="3CB6EF0D">
      <w:pPr>
        <w:jc w:val="left"/>
        <w:rPr>
          <w:rFonts w:ascii="仿宋" w:hAnsi="仿宋" w:eastAsia="仿宋"/>
          <w:sz w:val="32"/>
          <w:szCs w:val="32"/>
        </w:rPr>
      </w:pPr>
    </w:p>
    <w:p w14:paraId="3C527A83">
      <w:pPr>
        <w:jc w:val="center"/>
        <w:rPr>
          <w:rFonts w:hint="eastAsia" w:ascii="仿宋" w:hAnsi="仿宋" w:eastAsia="仿宋"/>
          <w:sz w:val="32"/>
          <w:szCs w:val="32"/>
        </w:rPr>
      </w:pPr>
    </w:p>
    <w:p w14:paraId="5BEAB39C">
      <w:pPr>
        <w:jc w:val="center"/>
        <w:rPr>
          <w:rFonts w:hint="eastAsia"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bookmarkStart w:id="4" w:name="_GoBack"/>
      <w:bookmarkEnd w:id="4"/>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hint="eastAsia"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hint="eastAsia" w:ascii="仿宋" w:hAnsi="仿宋" w:eastAsia="仿宋"/>
          <w:sz w:val="32"/>
          <w:szCs w:val="32"/>
        </w:rPr>
      </w:pPr>
      <w:r>
        <w:rPr>
          <w:rFonts w:hint="eastAsia" w:ascii="仿宋" w:hAnsi="仿宋" w:eastAsia="仿宋"/>
          <w:sz w:val="32"/>
          <w:szCs w:val="32"/>
        </w:rPr>
        <w:t xml:space="preserve"> </w:t>
      </w:r>
    </w:p>
    <w:p w14:paraId="68250850">
      <w:pPr>
        <w:jc w:val="left"/>
        <w:rPr>
          <w:rFonts w:hint="eastAsia" w:ascii="仿宋" w:hAnsi="仿宋" w:eastAsia="仿宋"/>
          <w:sz w:val="32"/>
          <w:szCs w:val="32"/>
        </w:rPr>
      </w:pPr>
    </w:p>
    <w:p w14:paraId="757010AF">
      <w:pPr>
        <w:jc w:val="left"/>
        <w:rPr>
          <w:rFonts w:hint="eastAsia" w:ascii="仿宋" w:hAnsi="仿宋" w:eastAsia="仿宋"/>
          <w:sz w:val="32"/>
          <w:szCs w:val="32"/>
        </w:rPr>
      </w:pPr>
    </w:p>
    <w:p w14:paraId="722E8134">
      <w:pPr>
        <w:jc w:val="left"/>
        <w:rPr>
          <w:rFonts w:hint="eastAsia" w:ascii="仿宋" w:hAnsi="仿宋" w:eastAsia="仿宋"/>
          <w:sz w:val="32"/>
          <w:szCs w:val="32"/>
        </w:rPr>
      </w:pPr>
    </w:p>
    <w:p w14:paraId="3EF41B55">
      <w:pPr>
        <w:jc w:val="left"/>
        <w:rPr>
          <w:rFonts w:hint="eastAsia" w:ascii="仿宋" w:hAnsi="仿宋" w:eastAsia="仿宋"/>
          <w:sz w:val="32"/>
          <w:szCs w:val="32"/>
        </w:rPr>
      </w:pPr>
    </w:p>
    <w:p w14:paraId="0AFC8DC2">
      <w:pPr>
        <w:jc w:val="left"/>
        <w:rPr>
          <w:rFonts w:hint="eastAsia" w:ascii="仿宋" w:hAnsi="仿宋" w:eastAsia="仿宋"/>
          <w:sz w:val="32"/>
          <w:szCs w:val="32"/>
        </w:rPr>
      </w:pPr>
    </w:p>
    <w:p w14:paraId="1B9DA4B3">
      <w:pPr>
        <w:jc w:val="center"/>
        <w:rPr>
          <w:rFonts w:hint="eastAsia" w:ascii="黑体" w:hAnsi="黑体" w:eastAsia="黑体"/>
          <w:sz w:val="32"/>
          <w:szCs w:val="32"/>
        </w:rPr>
      </w:pPr>
      <w:r>
        <w:rPr>
          <w:rFonts w:hint="eastAsia" w:ascii="黑体" w:hAnsi="黑体" w:eastAsia="黑体"/>
          <w:sz w:val="32"/>
          <w:szCs w:val="32"/>
        </w:rPr>
        <w:t>第四部分  预算表格</w:t>
      </w:r>
    </w:p>
    <w:p w14:paraId="0252C055">
      <w:pPr>
        <w:jc w:val="left"/>
        <w:rPr>
          <w:rFonts w:hint="eastAsia" w:ascii="仿宋" w:hAnsi="仿宋" w:eastAsia="仿宋"/>
          <w:sz w:val="32"/>
          <w:szCs w:val="32"/>
        </w:rPr>
      </w:pPr>
      <w:r>
        <w:rPr>
          <w:rFonts w:hint="eastAsia" w:ascii="仿宋" w:hAnsi="仿宋" w:eastAsia="仿宋"/>
          <w:sz w:val="32"/>
          <w:szCs w:val="32"/>
        </w:rPr>
        <w:t>2025年部门预算表套表（预算一体化系统报表查询模块中提取相应数据）。</w:t>
      </w:r>
    </w:p>
    <w:p w14:paraId="2FFB2AE9">
      <w:pPr>
        <w:rPr>
          <w:rFonts w:hint="eastAsia" w:ascii="仿宋" w:hAnsi="仿宋" w:eastAsia="仿宋"/>
          <w:sz w:val="32"/>
          <w:szCs w:val="32"/>
        </w:rPr>
      </w:pPr>
    </w:p>
    <w:p w14:paraId="00E3AD42">
      <w:pPr>
        <w:rPr>
          <w:rFonts w:hint="eastAsia"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604A4"/>
    <w:rsid w:val="00170416"/>
    <w:rsid w:val="00197A4E"/>
    <w:rsid w:val="001A4D62"/>
    <w:rsid w:val="001E24AD"/>
    <w:rsid w:val="001F239D"/>
    <w:rsid w:val="00227BEF"/>
    <w:rsid w:val="00242E9B"/>
    <w:rsid w:val="00251CE0"/>
    <w:rsid w:val="00251F84"/>
    <w:rsid w:val="002E0B3B"/>
    <w:rsid w:val="002F1115"/>
    <w:rsid w:val="002F3222"/>
    <w:rsid w:val="00357E92"/>
    <w:rsid w:val="00380C14"/>
    <w:rsid w:val="003B5F35"/>
    <w:rsid w:val="004038ED"/>
    <w:rsid w:val="004176EB"/>
    <w:rsid w:val="004763A7"/>
    <w:rsid w:val="00482664"/>
    <w:rsid w:val="004C1015"/>
    <w:rsid w:val="004D54A1"/>
    <w:rsid w:val="004E2282"/>
    <w:rsid w:val="00567D16"/>
    <w:rsid w:val="00572D27"/>
    <w:rsid w:val="00576DB1"/>
    <w:rsid w:val="0059597A"/>
    <w:rsid w:val="005C384D"/>
    <w:rsid w:val="005F0428"/>
    <w:rsid w:val="00622E82"/>
    <w:rsid w:val="00662EB3"/>
    <w:rsid w:val="006954BF"/>
    <w:rsid w:val="00722D32"/>
    <w:rsid w:val="00740031"/>
    <w:rsid w:val="00745992"/>
    <w:rsid w:val="00746DAF"/>
    <w:rsid w:val="007663EF"/>
    <w:rsid w:val="00770198"/>
    <w:rsid w:val="007B276D"/>
    <w:rsid w:val="007D3846"/>
    <w:rsid w:val="00806CC6"/>
    <w:rsid w:val="00815C4B"/>
    <w:rsid w:val="00840C28"/>
    <w:rsid w:val="0089282A"/>
    <w:rsid w:val="008B501D"/>
    <w:rsid w:val="00942596"/>
    <w:rsid w:val="00971A2E"/>
    <w:rsid w:val="009A3FBB"/>
    <w:rsid w:val="009C3948"/>
    <w:rsid w:val="009E4C36"/>
    <w:rsid w:val="00A12A00"/>
    <w:rsid w:val="00A25F08"/>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6611B"/>
    <w:rsid w:val="00B74A8E"/>
    <w:rsid w:val="00C37526"/>
    <w:rsid w:val="00C61D37"/>
    <w:rsid w:val="00CB2087"/>
    <w:rsid w:val="00CC2C0E"/>
    <w:rsid w:val="00CE6FE2"/>
    <w:rsid w:val="00CF7FF2"/>
    <w:rsid w:val="00D12794"/>
    <w:rsid w:val="00D463CF"/>
    <w:rsid w:val="00D54CC0"/>
    <w:rsid w:val="00DA2F9D"/>
    <w:rsid w:val="00DA5EFE"/>
    <w:rsid w:val="00DB4298"/>
    <w:rsid w:val="00DC6B72"/>
    <w:rsid w:val="00DF38C6"/>
    <w:rsid w:val="00E168F9"/>
    <w:rsid w:val="00E20B1E"/>
    <w:rsid w:val="00E21168"/>
    <w:rsid w:val="00E343EE"/>
    <w:rsid w:val="00E53AE6"/>
    <w:rsid w:val="00E576EF"/>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83F5767"/>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6950C35"/>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0D11CB"/>
    <w:rsid w:val="3C4C15D1"/>
    <w:rsid w:val="3CE440CF"/>
    <w:rsid w:val="3CEA5A8A"/>
    <w:rsid w:val="3D897F97"/>
    <w:rsid w:val="3DA7578C"/>
    <w:rsid w:val="3F597259"/>
    <w:rsid w:val="3F6B774D"/>
    <w:rsid w:val="40095632"/>
    <w:rsid w:val="430260DD"/>
    <w:rsid w:val="442476FC"/>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5B6485"/>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12</Pages>
  <Words>3525</Words>
  <Characters>3804</Characters>
  <Lines>28</Lines>
  <Paragraphs>7</Paragraphs>
  <TotalTime>87</TotalTime>
  <ScaleCrop>false</ScaleCrop>
  <LinksUpToDate>false</LinksUpToDate>
  <CharactersWithSpaces>3867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2025-04-03T07:12:19Z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eyJoZGlkIjoiZmJhMDVlODcxMTUyMzQ1N2ExODVmOWJkZjY1YzU4YTcifQ==</vt:lpwstr>
  </property>
</Properties>
</file>