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6213F58C">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永吉县环境卫生管理中心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永吉县环境卫生管理中心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1E8F2B6B">
      <w:pPr>
        <w:rPr>
          <w:rFonts w:hint="eastAsia" w:ascii="仿宋" w:hAnsi="仿宋" w:eastAsia="仿宋"/>
          <w:sz w:val="32"/>
          <w:szCs w:val="32"/>
        </w:rPr>
      </w:pP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0AAB1107">
      <w:pPr>
        <w:jc w:val="left"/>
        <w:rPr>
          <w:rFonts w:ascii="仿宋" w:hAnsi="仿宋" w:eastAsia="仿宋"/>
          <w:sz w:val="32"/>
          <w:szCs w:val="32"/>
        </w:rPr>
      </w:pPr>
      <w:r>
        <w:rPr>
          <w:rFonts w:hint="eastAsia" w:ascii="仿宋" w:hAnsi="仿宋" w:eastAsia="仿宋"/>
          <w:sz w:val="32"/>
          <w:szCs w:val="32"/>
        </w:rPr>
        <w:t xml:space="preserve">  一、主要职能</w:t>
      </w:r>
    </w:p>
    <w:p w14:paraId="3DDA82F5">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永吉县环境卫生管理中心</w:t>
      </w:r>
    </w:p>
    <w:p w14:paraId="05B4C2C6">
      <w:pPr>
        <w:pStyle w:val="10"/>
        <w:widowControl/>
        <w:spacing w:line="620" w:lineRule="exact"/>
        <w:ind w:firstLine="627" w:firstLineChars="196"/>
        <w:contextualSpacing/>
        <w:rPr>
          <w:rFonts w:hint="eastAsia" w:ascii="仿宋" w:hAnsi="仿宋" w:eastAsia="仿宋"/>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sz w:val="32"/>
          <w:szCs w:val="32"/>
        </w:rPr>
        <w:t>公益一类</w:t>
      </w:r>
      <w:r>
        <w:rPr>
          <w:rFonts w:hint="eastAsia" w:ascii="仿宋" w:hAnsi="仿宋" w:eastAsia="仿宋"/>
          <w:sz w:val="32"/>
          <w:szCs w:val="32"/>
          <w:lang w:eastAsia="zh-CN"/>
        </w:rPr>
        <w:t>事业</w:t>
      </w:r>
      <w:r>
        <w:rPr>
          <w:rFonts w:hint="eastAsia" w:ascii="仿宋" w:hAnsi="仿宋" w:eastAsia="仿宋"/>
          <w:sz w:val="32"/>
          <w:szCs w:val="32"/>
        </w:rPr>
        <w:t>拨款单位</w:t>
      </w:r>
    </w:p>
    <w:p w14:paraId="73B70400">
      <w:pPr>
        <w:pBdr>
          <w:top w:val="none" w:color="000000" w:sz="0" w:space="0"/>
          <w:left w:val="none" w:color="000000" w:sz="0" w:space="0"/>
          <w:bottom w:val="none" w:color="000000" w:sz="0" w:space="0"/>
          <w:right w:val="none" w:color="000000" w:sz="0" w:space="0"/>
        </w:pBdr>
        <w:autoSpaceDN w:val="0"/>
        <w:spacing w:line="560" w:lineRule="exact"/>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及业务</w:t>
      </w:r>
      <w:r>
        <w:rPr>
          <w:rFonts w:hint="eastAsia" w:ascii="仿宋" w:hAnsi="仿宋" w:eastAsia="仿宋"/>
          <w:bCs/>
          <w:kern w:val="0"/>
          <w:sz w:val="32"/>
          <w:szCs w:val="32"/>
        </w:rPr>
        <w:t>：</w:t>
      </w:r>
    </w:p>
    <w:p w14:paraId="3A06E363">
      <w:pPr>
        <w:pBdr>
          <w:top w:val="none" w:color="000000" w:sz="0" w:space="0"/>
          <w:left w:val="none" w:color="000000" w:sz="0" w:space="0"/>
          <w:bottom w:val="none" w:color="000000" w:sz="0" w:space="0"/>
          <w:right w:val="none" w:color="000000" w:sz="0" w:space="0"/>
        </w:pBdr>
        <w:autoSpaceDN w:val="0"/>
        <w:spacing w:line="560" w:lineRule="exact"/>
        <w:ind w:firstLine="640" w:firstLineChars="200"/>
        <w:rPr>
          <w:rFonts w:hint="eastAsia" w:ascii="仿宋" w:hAnsi="仿宋" w:eastAsia="仿宋" w:cs="仿宋"/>
          <w:sz w:val="32"/>
          <w:lang w:eastAsia="zh-CN"/>
        </w:rPr>
      </w:pPr>
      <w:r>
        <w:rPr>
          <w:rFonts w:hint="eastAsia" w:ascii="仿宋" w:hAnsi="仿宋" w:eastAsia="仿宋" w:cs="仿宋"/>
          <w:sz w:val="32"/>
        </w:rPr>
        <w:t>（</w:t>
      </w:r>
      <w:r>
        <w:rPr>
          <w:rFonts w:hint="eastAsia" w:ascii="仿宋" w:hAnsi="仿宋" w:eastAsia="仿宋" w:cs="仿宋"/>
          <w:sz w:val="32"/>
          <w:lang w:val="en-US" w:eastAsia="zh-CN"/>
        </w:rPr>
        <w:t>1</w:t>
      </w:r>
      <w:r>
        <w:rPr>
          <w:rFonts w:hint="eastAsia" w:ascii="仿宋" w:hAnsi="仿宋" w:eastAsia="仿宋" w:cs="仿宋"/>
          <w:sz w:val="32"/>
        </w:rPr>
        <w:t>）</w:t>
      </w:r>
      <w:r>
        <w:rPr>
          <w:rFonts w:hint="eastAsia" w:ascii="仿宋" w:hAnsi="仿宋" w:eastAsia="仿宋" w:cs="仿宋"/>
          <w:kern w:val="0"/>
          <w:sz w:val="32"/>
          <w:szCs w:val="32"/>
        </w:rPr>
        <w:t>按照有关法律、规章的规定，负责实施对城区环境卫生的管理工作</w:t>
      </w:r>
      <w:r>
        <w:rPr>
          <w:rFonts w:hint="eastAsia" w:ascii="仿宋" w:hAnsi="仿宋" w:eastAsia="仿宋" w:cs="仿宋"/>
          <w:kern w:val="0"/>
          <w:sz w:val="32"/>
          <w:szCs w:val="32"/>
          <w:lang w:eastAsia="zh-CN"/>
        </w:rPr>
        <w:t>；</w:t>
      </w:r>
    </w:p>
    <w:p w14:paraId="74D90E89">
      <w:pPr>
        <w:pBdr>
          <w:top w:val="none" w:color="000000" w:sz="0" w:space="0"/>
          <w:left w:val="none" w:color="000000" w:sz="0" w:space="0"/>
          <w:bottom w:val="none" w:color="000000" w:sz="0" w:space="0"/>
          <w:right w:val="none" w:color="000000" w:sz="0" w:space="0"/>
        </w:pBdr>
        <w:autoSpaceDN w:val="0"/>
        <w:spacing w:line="560" w:lineRule="exact"/>
        <w:ind w:firstLine="640" w:firstLineChars="200"/>
        <w:rPr>
          <w:rFonts w:hint="eastAsia" w:ascii="仿宋" w:hAnsi="仿宋" w:eastAsia="仿宋" w:cs="仿宋"/>
          <w:sz w:val="32"/>
          <w:lang w:eastAsia="zh-CN"/>
        </w:rPr>
      </w:pPr>
      <w:r>
        <w:rPr>
          <w:rFonts w:hint="eastAsia" w:ascii="仿宋" w:hAnsi="仿宋" w:eastAsia="仿宋" w:cs="仿宋"/>
          <w:sz w:val="32"/>
        </w:rPr>
        <w:t>（</w:t>
      </w:r>
      <w:r>
        <w:rPr>
          <w:rFonts w:hint="eastAsia" w:ascii="仿宋" w:hAnsi="仿宋" w:eastAsia="仿宋" w:cs="仿宋"/>
          <w:sz w:val="32"/>
          <w:lang w:val="en-US" w:eastAsia="zh-CN"/>
        </w:rPr>
        <w:t>2</w:t>
      </w:r>
      <w:r>
        <w:rPr>
          <w:rFonts w:hint="eastAsia" w:ascii="仿宋" w:hAnsi="仿宋" w:eastAsia="仿宋" w:cs="仿宋"/>
          <w:sz w:val="32"/>
        </w:rPr>
        <w:t>）</w:t>
      </w:r>
      <w:r>
        <w:rPr>
          <w:rFonts w:hint="eastAsia" w:ascii="仿宋" w:hAnsi="仿宋" w:eastAsia="仿宋" w:cs="仿宋"/>
          <w:kern w:val="0"/>
          <w:sz w:val="32"/>
          <w:szCs w:val="32"/>
        </w:rPr>
        <w:t>按照城市建设总体规划和市容环境卫生管理需要。负责对城区公用环卫设施进行统一设置和管理，并参与环境卫生设施的规划编制，并做好建设、管理和维护工作</w:t>
      </w:r>
      <w:r>
        <w:rPr>
          <w:rFonts w:hint="eastAsia" w:ascii="仿宋" w:hAnsi="仿宋" w:eastAsia="仿宋" w:cs="仿宋"/>
          <w:kern w:val="0"/>
          <w:sz w:val="32"/>
          <w:szCs w:val="32"/>
          <w:lang w:eastAsia="zh-CN"/>
        </w:rPr>
        <w:t>；</w:t>
      </w:r>
    </w:p>
    <w:p w14:paraId="2F5FD776">
      <w:pPr>
        <w:pBdr>
          <w:top w:val="none" w:color="000000" w:sz="0" w:space="0"/>
          <w:left w:val="none" w:color="000000" w:sz="0" w:space="0"/>
          <w:bottom w:val="none" w:color="000000" w:sz="0" w:space="0"/>
          <w:right w:val="none" w:color="000000" w:sz="0" w:space="0"/>
        </w:pBdr>
        <w:autoSpaceDN w:val="0"/>
        <w:spacing w:line="56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sz w:val="32"/>
        </w:rPr>
        <w:t>（</w:t>
      </w:r>
      <w:r>
        <w:rPr>
          <w:rFonts w:hint="eastAsia" w:ascii="仿宋" w:hAnsi="仿宋" w:eastAsia="仿宋" w:cs="仿宋"/>
          <w:sz w:val="32"/>
          <w:lang w:val="en-US" w:eastAsia="zh-CN"/>
        </w:rPr>
        <w:t>3</w:t>
      </w:r>
      <w:r>
        <w:rPr>
          <w:rFonts w:hint="eastAsia" w:ascii="仿宋" w:hAnsi="仿宋" w:eastAsia="仿宋" w:cs="仿宋"/>
          <w:sz w:val="32"/>
        </w:rPr>
        <w:t>）</w:t>
      </w:r>
      <w:r>
        <w:rPr>
          <w:rFonts w:hint="eastAsia" w:ascii="仿宋" w:hAnsi="仿宋" w:eastAsia="仿宋" w:cs="仿宋"/>
          <w:kern w:val="0"/>
          <w:sz w:val="32"/>
          <w:szCs w:val="32"/>
        </w:rPr>
        <w:t>负责做好城区道路等区域的清扫、保洁工作</w:t>
      </w:r>
      <w:r>
        <w:rPr>
          <w:rFonts w:hint="eastAsia" w:ascii="仿宋" w:hAnsi="仿宋" w:eastAsia="仿宋" w:cs="仿宋"/>
          <w:kern w:val="0"/>
          <w:sz w:val="32"/>
          <w:szCs w:val="32"/>
          <w:lang w:eastAsia="zh-CN"/>
        </w:rPr>
        <w:t>；</w:t>
      </w:r>
    </w:p>
    <w:p w14:paraId="544F933F">
      <w:pPr>
        <w:pBdr>
          <w:top w:val="none" w:color="000000" w:sz="0" w:space="0"/>
          <w:left w:val="none" w:color="000000" w:sz="0" w:space="0"/>
          <w:bottom w:val="none" w:color="000000" w:sz="0" w:space="0"/>
          <w:right w:val="none" w:color="000000" w:sz="0" w:space="0"/>
        </w:pBdr>
        <w:autoSpaceDN w:val="0"/>
        <w:spacing w:line="560" w:lineRule="exact"/>
        <w:ind w:firstLine="64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）负责城区生产、生活废弃物的运输工作</w:t>
      </w:r>
      <w:r>
        <w:rPr>
          <w:rFonts w:hint="eastAsia" w:ascii="仿宋" w:hAnsi="仿宋" w:eastAsia="仿宋" w:cs="仿宋"/>
          <w:kern w:val="0"/>
          <w:sz w:val="32"/>
          <w:szCs w:val="32"/>
          <w:lang w:eastAsia="zh-CN"/>
        </w:rPr>
        <w:t>；</w:t>
      </w:r>
    </w:p>
    <w:p w14:paraId="5E19BA6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kern w:val="0"/>
          <w:sz w:val="32"/>
          <w:szCs w:val="32"/>
        </w:rPr>
        <w:t>（</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）负责对城区内公厕的建设、维护工作。</w:t>
      </w:r>
    </w:p>
    <w:p w14:paraId="46A37081">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A8E7C38">
      <w:pPr>
        <w:pStyle w:val="12"/>
        <w:ind w:firstLine="627" w:firstLineChars="196"/>
        <w:rPr>
          <w:rFonts w:hint="default" w:ascii="仿宋" w:hAnsi="仿宋" w:eastAsia="仿宋"/>
          <w:kern w:val="0"/>
          <w:szCs w:val="32"/>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永吉县环境卫生管理中心管理中心（隶属于永吉县住房和城乡建设局二级预算单位）</w:t>
      </w:r>
    </w:p>
    <w:p w14:paraId="751215DE">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34</w:t>
      </w:r>
      <w:r>
        <w:rPr>
          <w:rFonts w:hint="eastAsia" w:ascii="仿宋" w:hAnsi="仿宋" w:eastAsia="仿宋"/>
          <w:kern w:val="0"/>
          <w:szCs w:val="32"/>
        </w:rPr>
        <w:t>人，编制数</w:t>
      </w:r>
      <w:r>
        <w:rPr>
          <w:rFonts w:hint="eastAsia" w:ascii="仿宋" w:hAnsi="仿宋" w:eastAsia="仿宋"/>
          <w:kern w:val="0"/>
          <w:szCs w:val="32"/>
          <w:lang w:val="en-US" w:eastAsia="zh-CN"/>
        </w:rPr>
        <w:t>29</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5C7168B7">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城乡社区环境卫生</w:t>
      </w:r>
      <w:r>
        <w:rPr>
          <w:rFonts w:hint="eastAsia" w:ascii="仿宋" w:hAnsi="仿宋" w:eastAsia="仿宋"/>
          <w:sz w:val="32"/>
          <w:szCs w:val="32"/>
        </w:rPr>
        <w:t>、住房保障支出。202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391.2</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419.18</w:t>
      </w:r>
      <w:r>
        <w:rPr>
          <w:rFonts w:hint="eastAsia" w:ascii="仿宋" w:hAnsi="仿宋" w:eastAsia="仿宋"/>
          <w:sz w:val="32"/>
          <w:szCs w:val="32"/>
        </w:rPr>
        <w:t xml:space="preserve">万元减 </w:t>
      </w:r>
      <w:r>
        <w:rPr>
          <w:rFonts w:hint="eastAsia" w:ascii="仿宋" w:hAnsi="仿宋" w:eastAsia="仿宋"/>
          <w:sz w:val="32"/>
          <w:szCs w:val="32"/>
          <w:lang w:val="en-US" w:eastAsia="zh-CN"/>
        </w:rPr>
        <w:t>27.98</w:t>
      </w:r>
      <w:r>
        <w:rPr>
          <w:rFonts w:hint="eastAsia" w:ascii="仿宋" w:hAnsi="仿宋" w:eastAsia="仿宋"/>
          <w:sz w:val="32"/>
          <w:szCs w:val="32"/>
        </w:rPr>
        <w:t>万元，主要原因：</w:t>
      </w:r>
      <w:r>
        <w:rPr>
          <w:rFonts w:hint="eastAsia" w:ascii="仿宋" w:hAnsi="仿宋" w:eastAsia="仿宋"/>
          <w:sz w:val="32"/>
          <w:szCs w:val="32"/>
          <w:lang w:val="en-US" w:eastAsia="zh-CN"/>
        </w:rPr>
        <w:t>2024年10月</w:t>
      </w:r>
      <w:r>
        <w:rPr>
          <w:rFonts w:hint="eastAsia" w:ascii="仿宋" w:hAnsi="仿宋" w:eastAsia="仿宋"/>
          <w:sz w:val="32"/>
          <w:szCs w:val="32"/>
          <w:lang w:eastAsia="zh-CN"/>
        </w:rPr>
        <w:t>在职转退休</w:t>
      </w:r>
      <w:r>
        <w:rPr>
          <w:rFonts w:hint="eastAsia" w:ascii="仿宋" w:hAnsi="仿宋" w:eastAsia="仿宋"/>
          <w:sz w:val="32"/>
          <w:szCs w:val="32"/>
          <w:lang w:val="en-US" w:eastAsia="zh-CN"/>
        </w:rPr>
        <w:t>1人，相关经费减少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391.2</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391.2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391.2</w:t>
      </w:r>
      <w:r>
        <w:rPr>
          <w:rFonts w:hint="eastAsia" w:ascii="仿宋" w:hAnsi="仿宋" w:eastAsia="仿宋"/>
          <w:sz w:val="32"/>
          <w:szCs w:val="32"/>
        </w:rPr>
        <w:t>万元，其中：基本支出</w:t>
      </w:r>
      <w:r>
        <w:rPr>
          <w:rFonts w:hint="eastAsia" w:ascii="仿宋" w:hAnsi="仿宋" w:eastAsia="仿宋"/>
          <w:sz w:val="32"/>
          <w:szCs w:val="32"/>
          <w:lang w:val="en-US" w:eastAsia="zh-CN"/>
        </w:rPr>
        <w:t>286.73</w:t>
      </w:r>
      <w:r>
        <w:rPr>
          <w:rFonts w:hint="eastAsia" w:ascii="仿宋" w:hAnsi="仿宋" w:eastAsia="仿宋"/>
          <w:sz w:val="32"/>
          <w:szCs w:val="32"/>
        </w:rPr>
        <w:t>万元，占</w:t>
      </w:r>
      <w:r>
        <w:rPr>
          <w:rFonts w:hint="eastAsia" w:ascii="仿宋" w:hAnsi="仿宋" w:eastAsia="仿宋"/>
          <w:sz w:val="32"/>
          <w:szCs w:val="32"/>
          <w:lang w:val="en-US" w:eastAsia="zh-CN"/>
        </w:rPr>
        <w:t>73.29</w:t>
      </w:r>
      <w:r>
        <w:rPr>
          <w:rFonts w:hint="eastAsia" w:ascii="仿宋" w:hAnsi="仿宋" w:eastAsia="仿宋"/>
          <w:sz w:val="32"/>
          <w:szCs w:val="32"/>
        </w:rPr>
        <w:t>%；项目支出</w:t>
      </w:r>
      <w:r>
        <w:rPr>
          <w:rFonts w:hint="eastAsia" w:ascii="仿宋" w:hAnsi="仿宋" w:eastAsia="仿宋"/>
          <w:sz w:val="32"/>
          <w:szCs w:val="32"/>
          <w:lang w:val="en-US" w:eastAsia="zh-CN"/>
        </w:rPr>
        <w:t>104.47</w:t>
      </w:r>
      <w:r>
        <w:rPr>
          <w:rFonts w:hint="eastAsia" w:ascii="仿宋" w:hAnsi="仿宋" w:eastAsia="仿宋"/>
          <w:sz w:val="32"/>
          <w:szCs w:val="32"/>
        </w:rPr>
        <w:t>万元，占</w:t>
      </w:r>
      <w:r>
        <w:rPr>
          <w:rFonts w:hint="eastAsia" w:ascii="仿宋" w:hAnsi="仿宋" w:eastAsia="仿宋"/>
          <w:sz w:val="32"/>
          <w:szCs w:val="32"/>
          <w:lang w:val="en-US" w:eastAsia="zh-CN"/>
        </w:rPr>
        <w:t>26.71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391.2</w:t>
      </w:r>
      <w:r>
        <w:rPr>
          <w:rFonts w:hint="eastAsia" w:ascii="仿宋" w:hAnsi="仿宋" w:eastAsia="仿宋"/>
          <w:sz w:val="32"/>
          <w:szCs w:val="32"/>
        </w:rPr>
        <w:t>万元，其中：本年收入</w:t>
      </w:r>
      <w:r>
        <w:rPr>
          <w:rFonts w:hint="eastAsia" w:ascii="仿宋" w:hAnsi="仿宋" w:eastAsia="仿宋"/>
          <w:sz w:val="32"/>
          <w:szCs w:val="32"/>
          <w:lang w:val="en-US" w:eastAsia="zh-CN"/>
        </w:rPr>
        <w:t>391.2</w:t>
      </w:r>
      <w:r>
        <w:rPr>
          <w:rFonts w:hint="eastAsia" w:ascii="仿宋" w:hAnsi="仿宋" w:eastAsia="仿宋"/>
          <w:sz w:val="32"/>
          <w:szCs w:val="32"/>
        </w:rPr>
        <w:t>万元。本年支出</w:t>
      </w:r>
      <w:r>
        <w:rPr>
          <w:rFonts w:hint="eastAsia" w:ascii="仿宋" w:hAnsi="仿宋" w:eastAsia="仿宋"/>
          <w:sz w:val="32"/>
          <w:szCs w:val="32"/>
          <w:lang w:val="en-US" w:eastAsia="zh-CN"/>
        </w:rPr>
        <w:t>391.2</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30.2</w:t>
      </w:r>
      <w:r>
        <w:rPr>
          <w:rFonts w:hint="eastAsia" w:ascii="仿宋" w:hAnsi="仿宋" w:eastAsia="仿宋"/>
          <w:sz w:val="32"/>
          <w:szCs w:val="32"/>
        </w:rPr>
        <w:t>万元，</w:t>
      </w:r>
      <w:r>
        <w:rPr>
          <w:rFonts w:hint="eastAsia" w:ascii="仿宋" w:hAnsi="仿宋" w:eastAsia="仿宋"/>
          <w:sz w:val="32"/>
          <w:szCs w:val="32"/>
          <w:lang w:eastAsia="zh-CN"/>
        </w:rPr>
        <w:t>城乡社会环境卫生</w:t>
      </w:r>
      <w:r>
        <w:rPr>
          <w:rFonts w:hint="eastAsia" w:ascii="仿宋" w:hAnsi="仿宋" w:eastAsia="仿宋"/>
          <w:sz w:val="32"/>
          <w:szCs w:val="32"/>
          <w:lang w:val="en-US" w:eastAsia="zh-CN"/>
        </w:rPr>
        <w:t>337.88</w:t>
      </w:r>
      <w:r>
        <w:rPr>
          <w:rFonts w:hint="eastAsia" w:ascii="仿宋" w:hAnsi="仿宋" w:eastAsia="仿宋"/>
          <w:sz w:val="32"/>
          <w:szCs w:val="32"/>
        </w:rPr>
        <w:t>万元，住房保障支出</w:t>
      </w:r>
      <w:r>
        <w:rPr>
          <w:rFonts w:hint="eastAsia" w:ascii="仿宋" w:hAnsi="仿宋" w:eastAsia="仿宋"/>
          <w:sz w:val="32"/>
          <w:szCs w:val="32"/>
          <w:lang w:val="en-US" w:eastAsia="zh-CN"/>
        </w:rPr>
        <w:t>23.12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391.2</w:t>
      </w:r>
      <w:r>
        <w:rPr>
          <w:rFonts w:hint="eastAsia" w:ascii="仿宋" w:hAnsi="仿宋" w:eastAsia="仿宋"/>
          <w:sz w:val="32"/>
          <w:szCs w:val="32"/>
        </w:rPr>
        <w:t>万元，其中：基本支出</w:t>
      </w:r>
      <w:r>
        <w:rPr>
          <w:rFonts w:hint="eastAsia" w:ascii="仿宋" w:hAnsi="仿宋" w:eastAsia="仿宋"/>
          <w:sz w:val="32"/>
          <w:szCs w:val="32"/>
          <w:lang w:val="en-US" w:eastAsia="zh-CN"/>
        </w:rPr>
        <w:t>286.73</w:t>
      </w:r>
      <w:r>
        <w:rPr>
          <w:rFonts w:hint="eastAsia" w:ascii="仿宋" w:hAnsi="仿宋" w:eastAsia="仿宋"/>
          <w:sz w:val="32"/>
          <w:szCs w:val="32"/>
        </w:rPr>
        <w:t>万元，占</w:t>
      </w:r>
      <w:r>
        <w:rPr>
          <w:rFonts w:hint="eastAsia" w:ascii="仿宋" w:hAnsi="仿宋" w:eastAsia="仿宋"/>
          <w:sz w:val="32"/>
          <w:szCs w:val="32"/>
          <w:lang w:val="en-US" w:eastAsia="zh-CN"/>
        </w:rPr>
        <w:t>73.29</w:t>
      </w:r>
      <w:r>
        <w:rPr>
          <w:rFonts w:hint="eastAsia" w:ascii="仿宋" w:hAnsi="仿宋" w:eastAsia="仿宋"/>
          <w:sz w:val="32"/>
          <w:szCs w:val="32"/>
        </w:rPr>
        <w:t>%；项目支出</w:t>
      </w:r>
      <w:r>
        <w:rPr>
          <w:rFonts w:hint="eastAsia" w:ascii="仿宋" w:hAnsi="仿宋" w:eastAsia="仿宋"/>
          <w:sz w:val="32"/>
          <w:szCs w:val="32"/>
          <w:lang w:val="en-US" w:eastAsia="zh-CN"/>
        </w:rPr>
        <w:t>104.47</w:t>
      </w:r>
      <w:r>
        <w:rPr>
          <w:rFonts w:hint="eastAsia" w:ascii="仿宋" w:hAnsi="仿宋" w:eastAsia="仿宋"/>
          <w:sz w:val="32"/>
          <w:szCs w:val="32"/>
        </w:rPr>
        <w:t>万元，占</w:t>
      </w:r>
      <w:r>
        <w:rPr>
          <w:rFonts w:hint="eastAsia" w:ascii="仿宋" w:hAnsi="仿宋" w:eastAsia="仿宋"/>
          <w:sz w:val="32"/>
          <w:szCs w:val="32"/>
          <w:lang w:val="en-US" w:eastAsia="zh-CN"/>
        </w:rPr>
        <w:t>26.71</w:t>
      </w:r>
      <w:r>
        <w:rPr>
          <w:rFonts w:hint="eastAsia" w:ascii="仿宋" w:hAnsi="仿宋" w:eastAsia="仿宋"/>
          <w:sz w:val="32"/>
          <w:szCs w:val="32"/>
        </w:rPr>
        <w:t>%。基本支出中，人员经费</w:t>
      </w:r>
      <w:r>
        <w:rPr>
          <w:rFonts w:hint="eastAsia" w:ascii="仿宋" w:hAnsi="仿宋" w:eastAsia="仿宋"/>
          <w:sz w:val="32"/>
          <w:szCs w:val="32"/>
          <w:lang w:val="en-US" w:eastAsia="zh-CN"/>
        </w:rPr>
        <w:t>263.25</w:t>
      </w:r>
      <w:r>
        <w:rPr>
          <w:rFonts w:hint="eastAsia" w:ascii="仿宋" w:hAnsi="仿宋" w:eastAsia="仿宋"/>
          <w:sz w:val="32"/>
          <w:szCs w:val="32"/>
        </w:rPr>
        <w:t>万元，占</w:t>
      </w:r>
      <w:r>
        <w:rPr>
          <w:rFonts w:hint="eastAsia" w:ascii="仿宋" w:hAnsi="仿宋" w:eastAsia="仿宋"/>
          <w:sz w:val="32"/>
          <w:szCs w:val="32"/>
          <w:lang w:val="en-US" w:eastAsia="zh-CN"/>
        </w:rPr>
        <w:t>91.81</w:t>
      </w:r>
      <w:r>
        <w:rPr>
          <w:rFonts w:hint="eastAsia" w:ascii="仿宋" w:hAnsi="仿宋" w:eastAsia="仿宋"/>
          <w:sz w:val="32"/>
          <w:szCs w:val="32"/>
        </w:rPr>
        <w:t>%；公用经费</w:t>
      </w:r>
      <w:r>
        <w:rPr>
          <w:rFonts w:hint="eastAsia" w:ascii="仿宋" w:hAnsi="仿宋" w:eastAsia="仿宋"/>
          <w:sz w:val="32"/>
          <w:szCs w:val="32"/>
          <w:lang w:val="en-US" w:eastAsia="zh-CN"/>
        </w:rPr>
        <w:t>23.47</w:t>
      </w:r>
      <w:r>
        <w:rPr>
          <w:rFonts w:hint="eastAsia" w:ascii="仿宋" w:hAnsi="仿宋" w:eastAsia="仿宋"/>
          <w:sz w:val="32"/>
          <w:szCs w:val="32"/>
        </w:rPr>
        <w:t>万元，占</w:t>
      </w:r>
      <w:r>
        <w:rPr>
          <w:rFonts w:hint="eastAsia" w:ascii="仿宋" w:hAnsi="仿宋" w:eastAsia="仿宋"/>
          <w:sz w:val="32"/>
          <w:szCs w:val="32"/>
          <w:lang w:val="en-US" w:eastAsia="zh-CN"/>
        </w:rPr>
        <w:t>8.19</w:t>
      </w:r>
      <w:r>
        <w:rPr>
          <w:rFonts w:hint="eastAsia" w:ascii="仿宋" w:hAnsi="仿宋" w:eastAsia="仿宋"/>
          <w:sz w:val="32"/>
          <w:szCs w:val="32"/>
        </w:rPr>
        <w:t>%。</w:t>
      </w:r>
    </w:p>
    <w:p w14:paraId="1B997D7B">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30.2</w:t>
      </w:r>
      <w:r>
        <w:rPr>
          <w:rFonts w:hint="eastAsia" w:ascii="仿宋" w:hAnsi="仿宋" w:eastAsia="仿宋"/>
          <w:sz w:val="32"/>
          <w:szCs w:val="32"/>
        </w:rPr>
        <w:t xml:space="preserve"> 万元，占</w:t>
      </w:r>
      <w:r>
        <w:rPr>
          <w:rFonts w:hint="eastAsia" w:ascii="仿宋" w:hAnsi="仿宋" w:eastAsia="仿宋"/>
          <w:sz w:val="32"/>
          <w:szCs w:val="32"/>
          <w:lang w:val="en-US" w:eastAsia="zh-CN"/>
        </w:rPr>
        <w:t>7.72</w:t>
      </w:r>
      <w:r>
        <w:rPr>
          <w:rFonts w:hint="eastAsia" w:ascii="仿宋" w:hAnsi="仿宋" w:eastAsia="仿宋"/>
          <w:sz w:val="32"/>
          <w:szCs w:val="32"/>
        </w:rPr>
        <w:t>%，主要用于：</w:t>
      </w:r>
      <w:r>
        <w:rPr>
          <w:rFonts w:hint="eastAsia" w:ascii="仿宋" w:hAnsi="仿宋" w:eastAsia="仿宋"/>
          <w:sz w:val="32"/>
          <w:szCs w:val="32"/>
          <w:lang w:eastAsia="zh-CN"/>
        </w:rPr>
        <w:t>在职职工机关事业单位基本养老保险缴费支出</w:t>
      </w:r>
      <w:r>
        <w:rPr>
          <w:rFonts w:hint="eastAsia" w:ascii="仿宋" w:hAnsi="仿宋" w:eastAsia="仿宋"/>
          <w:sz w:val="32"/>
          <w:szCs w:val="32"/>
        </w:rPr>
        <w:t>。</w:t>
      </w:r>
    </w:p>
    <w:p w14:paraId="53320776">
      <w:pPr>
        <w:ind w:firstLine="640" w:firstLineChars="200"/>
        <w:rPr>
          <w:rFonts w:ascii="仿宋" w:hAnsi="仿宋" w:eastAsia="仿宋"/>
          <w:sz w:val="32"/>
          <w:szCs w:val="32"/>
        </w:rPr>
      </w:pPr>
      <w:r>
        <w:rPr>
          <w:rFonts w:hint="eastAsia" w:ascii="仿宋" w:hAnsi="仿宋" w:eastAsia="仿宋"/>
          <w:sz w:val="32"/>
          <w:szCs w:val="32"/>
          <w:lang w:eastAsia="zh-CN"/>
        </w:rPr>
        <w:t>城乡社会环境卫生</w:t>
      </w:r>
      <w:r>
        <w:rPr>
          <w:rFonts w:hint="eastAsia" w:ascii="仿宋" w:hAnsi="仿宋" w:eastAsia="仿宋"/>
          <w:sz w:val="32"/>
          <w:szCs w:val="32"/>
          <w:lang w:val="en-US" w:eastAsia="zh-CN"/>
        </w:rPr>
        <w:t>337.88</w:t>
      </w:r>
      <w:r>
        <w:rPr>
          <w:rFonts w:hint="eastAsia" w:ascii="仿宋" w:hAnsi="仿宋" w:eastAsia="仿宋"/>
          <w:sz w:val="32"/>
          <w:szCs w:val="32"/>
        </w:rPr>
        <w:t>万元，占</w:t>
      </w:r>
      <w:r>
        <w:rPr>
          <w:rFonts w:hint="eastAsia" w:ascii="仿宋" w:hAnsi="仿宋" w:eastAsia="仿宋"/>
          <w:sz w:val="32"/>
          <w:szCs w:val="32"/>
          <w:lang w:val="en-US" w:eastAsia="zh-CN"/>
        </w:rPr>
        <w:t>86.37</w:t>
      </w:r>
      <w:r>
        <w:rPr>
          <w:rFonts w:hint="eastAsia" w:ascii="仿宋" w:hAnsi="仿宋" w:eastAsia="仿宋"/>
          <w:sz w:val="32"/>
          <w:szCs w:val="32"/>
        </w:rPr>
        <w:t>%，主要用于：</w:t>
      </w:r>
      <w:r>
        <w:rPr>
          <w:rFonts w:hint="eastAsia" w:ascii="仿宋" w:hAnsi="仿宋" w:eastAsia="仿宋"/>
          <w:sz w:val="32"/>
          <w:szCs w:val="32"/>
          <w:lang w:eastAsia="zh-CN"/>
        </w:rPr>
        <w:t>在职职工工资福利支出及单位运行商品服务支出</w:t>
      </w:r>
      <w:r>
        <w:rPr>
          <w:rFonts w:hint="eastAsia" w:ascii="仿宋" w:hAnsi="仿宋" w:eastAsia="仿宋"/>
          <w:sz w:val="32"/>
          <w:szCs w:val="32"/>
        </w:rPr>
        <w:t>。</w:t>
      </w:r>
    </w:p>
    <w:p w14:paraId="3DFEB386">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23.12</w:t>
      </w:r>
      <w:r>
        <w:rPr>
          <w:rFonts w:hint="eastAsia" w:ascii="仿宋" w:hAnsi="仿宋" w:eastAsia="仿宋"/>
          <w:sz w:val="32"/>
          <w:szCs w:val="32"/>
        </w:rPr>
        <w:t>万元，占</w:t>
      </w:r>
      <w:r>
        <w:rPr>
          <w:rFonts w:hint="eastAsia" w:ascii="仿宋" w:hAnsi="仿宋" w:eastAsia="仿宋"/>
          <w:sz w:val="32"/>
          <w:szCs w:val="32"/>
          <w:lang w:val="en-US" w:eastAsia="zh-CN"/>
        </w:rPr>
        <w:t>5.91</w:t>
      </w:r>
      <w:r>
        <w:rPr>
          <w:rFonts w:hint="eastAsia" w:ascii="仿宋" w:hAnsi="仿宋" w:eastAsia="仿宋"/>
          <w:sz w:val="32"/>
          <w:szCs w:val="32"/>
        </w:rPr>
        <w:t>%，主要用于：</w:t>
      </w:r>
      <w:r>
        <w:rPr>
          <w:rFonts w:hint="eastAsia" w:ascii="仿宋" w:hAnsi="仿宋" w:eastAsia="仿宋"/>
          <w:sz w:val="32"/>
          <w:szCs w:val="32"/>
          <w:lang w:eastAsia="zh-CN"/>
        </w:rPr>
        <w:t>在职职工住房公积金支出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286.73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263.25</w:t>
      </w:r>
      <w:r>
        <w:rPr>
          <w:rFonts w:hint="eastAsia" w:ascii="仿宋" w:hAnsi="仿宋" w:eastAsia="仿宋"/>
          <w:sz w:val="32"/>
          <w:szCs w:val="32"/>
        </w:rPr>
        <w:t>万元，主要包括：基本工资、津贴补贴、绩效工资、机关事业单位基本养老保险缴费、职工基本医疗保险缴费、其他社会保障缴费、住房公积金、</w:t>
      </w:r>
      <w:r>
        <w:rPr>
          <w:rFonts w:hint="eastAsia" w:ascii="仿宋" w:hAnsi="仿宋" w:eastAsia="仿宋"/>
          <w:sz w:val="32"/>
          <w:szCs w:val="32"/>
          <w:lang w:eastAsia="zh-CN"/>
        </w:rPr>
        <w:t>奖励金</w:t>
      </w:r>
      <w:r>
        <w:rPr>
          <w:rFonts w:hint="eastAsia" w:ascii="仿宋" w:hAnsi="仿宋" w:eastAsia="仿宋"/>
          <w:sz w:val="32"/>
          <w:szCs w:val="32"/>
        </w:rPr>
        <w:t>；</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23.47</w:t>
      </w:r>
      <w:r>
        <w:rPr>
          <w:rFonts w:hint="eastAsia" w:ascii="仿宋" w:hAnsi="仿宋" w:eastAsia="仿宋"/>
          <w:sz w:val="32"/>
          <w:szCs w:val="32"/>
        </w:rPr>
        <w:t>万元，主要包括：办公费、水费、电费、邮电费、取暖费、差旅费、工会经费、公务用车运行维护费。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4.8</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076E8C98">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4.8</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4.8</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34</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1</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21</w:t>
      </w:r>
      <w:r>
        <w:rPr>
          <w:rFonts w:hint="eastAsia" w:ascii="仿宋" w:hAnsi="仿宋" w:eastAsia="仿宋"/>
          <w:sz w:val="32"/>
          <w:szCs w:val="32"/>
        </w:rPr>
        <w:t xml:space="preserve"> 辆、其他用车</w:t>
      </w:r>
      <w:r>
        <w:rPr>
          <w:rFonts w:hint="eastAsia" w:ascii="仿宋" w:hAnsi="仿宋" w:eastAsia="仿宋"/>
          <w:sz w:val="32"/>
          <w:szCs w:val="32"/>
          <w:lang w:val="en-US" w:eastAsia="zh-CN"/>
        </w:rPr>
        <w:t>12</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104.47</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numPr>
          <w:ilvl w:val="0"/>
          <w:numId w:val="5"/>
        </w:numPr>
        <w:jc w:val="center"/>
        <w:rPr>
          <w:rFonts w:hint="eastAsia" w:ascii="黑体" w:hAnsi="黑体" w:eastAsia="黑体"/>
          <w:sz w:val="32"/>
          <w:szCs w:val="32"/>
        </w:rPr>
      </w:pPr>
      <w:r>
        <w:rPr>
          <w:rFonts w:hint="eastAsia" w:ascii="黑体" w:hAnsi="黑体" w:eastAsia="黑体"/>
          <w:sz w:val="32"/>
          <w:szCs w:val="32"/>
        </w:rPr>
        <w:t xml:space="preserve"> 名词解释</w:t>
      </w:r>
    </w:p>
    <w:p w14:paraId="5BACB5AD">
      <w:pPr>
        <w:numPr>
          <w:numId w:val="0"/>
        </w:numPr>
        <w:jc w:val="both"/>
        <w:rPr>
          <w:rFonts w:hint="eastAsia" w:ascii="黑体" w:hAnsi="黑体" w:eastAsia="黑体"/>
          <w:sz w:val="32"/>
          <w:szCs w:val="32"/>
        </w:rPr>
      </w:pPr>
    </w:p>
    <w:p w14:paraId="72BA8D45">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2B7CFECE">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19E1AEFC">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253786D9">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2EE06A32">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3E01DA3E">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0FD705C5">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45ECA056">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57DA4EF3">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757010AF">
      <w:pPr>
        <w:jc w:val="left"/>
        <w:rPr>
          <w:rFonts w:hint="eastAsia" w:ascii="仿宋" w:hAnsi="仿宋" w:eastAsia="仿宋" w:cs="仿宋"/>
          <w:sz w:val="32"/>
          <w:szCs w:val="32"/>
        </w:rPr>
      </w:pPr>
    </w:p>
    <w:p w14:paraId="1B9DA4B3">
      <w:pPr>
        <w:numPr>
          <w:ilvl w:val="0"/>
          <w:numId w:val="5"/>
        </w:numPr>
        <w:ind w:left="0" w:leftChars="0" w:firstLine="0" w:firstLineChars="0"/>
        <w:jc w:val="center"/>
        <w:rPr>
          <w:rFonts w:hint="eastAsia" w:ascii="黑体" w:hAnsi="黑体" w:eastAsia="黑体" w:cs="黑体"/>
          <w:sz w:val="32"/>
          <w:szCs w:val="32"/>
        </w:rPr>
      </w:pPr>
      <w:r>
        <w:rPr>
          <w:rFonts w:hint="eastAsia" w:ascii="黑体" w:hAnsi="黑体" w:eastAsia="黑体" w:cs="黑体"/>
          <w:sz w:val="32"/>
          <w:szCs w:val="32"/>
        </w:rPr>
        <w:t xml:space="preserve"> 预算表格</w:t>
      </w:r>
    </w:p>
    <w:p w14:paraId="011D4113">
      <w:pPr>
        <w:numPr>
          <w:numId w:val="0"/>
        </w:numPr>
        <w:ind w:leftChars="0"/>
        <w:jc w:val="both"/>
        <w:rPr>
          <w:rFonts w:hint="eastAsia" w:ascii="仿宋" w:hAnsi="仿宋" w:eastAsia="仿宋" w:cs="仿宋"/>
          <w:sz w:val="32"/>
          <w:szCs w:val="32"/>
        </w:rPr>
      </w:pPr>
    </w:p>
    <w:p w14:paraId="0252C055">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p w14:paraId="2FFB2AE9">
      <w:pPr>
        <w:rPr>
          <w:rFonts w:hint="eastAsia" w:ascii="仿宋" w:hAnsi="仿宋" w:eastAsia="仿宋" w:cs="仿宋"/>
          <w:sz w:val="32"/>
          <w:szCs w:val="32"/>
        </w:rPr>
      </w:pPr>
    </w:p>
    <w:p w14:paraId="00E3AD42">
      <w:pPr>
        <w:rPr>
          <w:rFonts w:hint="eastAsia" w:ascii="仿宋" w:hAnsi="仿宋" w:eastAsia="仿宋" w:cs="仿宋"/>
          <w:b/>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098DA"/>
    <w:multiLevelType w:val="singleLevel"/>
    <w:tmpl w:val="A68098DA"/>
    <w:lvl w:ilvl="0" w:tentative="0">
      <w:start w:val="3"/>
      <w:numFmt w:val="chineseCounting"/>
      <w:suff w:val="space"/>
      <w:lvlText w:val="第%1部分"/>
      <w:lvlJc w:val="left"/>
      <w:rPr>
        <w:rFonts w:hint="eastAsia"/>
      </w:rPr>
    </w:lvl>
  </w:abstractNum>
  <w:abstractNum w:abstractNumId="1">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2">
    <w:nsid w:val="2480E559"/>
    <w:multiLevelType w:val="singleLevel"/>
    <w:tmpl w:val="2480E559"/>
    <w:lvl w:ilvl="0" w:tentative="0">
      <w:start w:val="4"/>
      <w:numFmt w:val="chineseCounting"/>
      <w:suff w:val="nothing"/>
      <w:lvlText w:val="（%1）"/>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5C814E2"/>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158645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7</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明媚</cp:lastModifiedBy>
  <dcterms:modified xsi:type="dcterms:W3CDTF">2025-04-02T02:41:00Z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eyJoZGlkIjoiYjIwOGMzODI3NDBlMDVhMzRiMTA3MDRmN2Y0ZGU4MzciLCJ1c2VySWQiOiIxMTcwNjIyMzE1In0=</vt:lpwstr>
  </property>
</Properties>
</file>