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703324">
      <w:pPr>
        <w:jc w:val="center"/>
        <w:rPr>
          <w:rFonts w:ascii="黑体" w:hAnsi="黑体" w:eastAsia="黑体"/>
          <w:sz w:val="44"/>
          <w:szCs w:val="44"/>
        </w:rPr>
      </w:pPr>
    </w:p>
    <w:p w14:paraId="0722EA08">
      <w:pPr>
        <w:jc w:val="center"/>
        <w:rPr>
          <w:rFonts w:ascii="黑体" w:hAnsi="黑体" w:eastAsia="黑体"/>
          <w:sz w:val="44"/>
          <w:szCs w:val="44"/>
        </w:rPr>
      </w:pPr>
    </w:p>
    <w:p w14:paraId="5712AD97">
      <w:pPr>
        <w:jc w:val="center"/>
        <w:rPr>
          <w:rFonts w:ascii="黑体" w:hAnsi="黑体" w:eastAsia="黑体"/>
          <w:sz w:val="44"/>
          <w:szCs w:val="44"/>
        </w:rPr>
      </w:pPr>
    </w:p>
    <w:p w14:paraId="4DAE025F">
      <w:pPr>
        <w:jc w:val="center"/>
        <w:rPr>
          <w:rFonts w:ascii="黑体" w:hAnsi="黑体" w:eastAsia="黑体"/>
          <w:sz w:val="44"/>
          <w:szCs w:val="44"/>
        </w:rPr>
      </w:pPr>
    </w:p>
    <w:p w14:paraId="5C6FEE61">
      <w:pPr>
        <w:jc w:val="center"/>
        <w:rPr>
          <w:rFonts w:ascii="黑体" w:hAnsi="黑体" w:eastAsia="黑体"/>
          <w:sz w:val="44"/>
          <w:szCs w:val="44"/>
        </w:rPr>
      </w:pPr>
    </w:p>
    <w:p w14:paraId="3628D6A9">
      <w:pPr>
        <w:jc w:val="center"/>
        <w:rPr>
          <w:rFonts w:hint="eastAsia" w:ascii="黑体" w:hAnsi="黑体" w:eastAsia="黑体"/>
          <w:sz w:val="52"/>
          <w:szCs w:val="52"/>
          <w:highlight w:val="none"/>
          <w:lang w:eastAsia="zh-CN"/>
        </w:rPr>
      </w:pPr>
      <w:r>
        <w:rPr>
          <w:rFonts w:hint="eastAsia" w:ascii="黑体" w:hAnsi="黑体" w:eastAsia="黑体"/>
          <w:sz w:val="52"/>
          <w:szCs w:val="52"/>
          <w:highlight w:val="none"/>
          <w:lang w:eastAsia="zh-CN"/>
        </w:rPr>
        <w:t>永吉县医疗保障局（本级）</w:t>
      </w:r>
    </w:p>
    <w:p w14:paraId="0050A5F4">
      <w:pPr>
        <w:jc w:val="center"/>
        <w:rPr>
          <w:rFonts w:ascii="黑体" w:hAnsi="黑体" w:eastAsia="黑体"/>
          <w:sz w:val="52"/>
          <w:szCs w:val="52"/>
        </w:rPr>
      </w:pPr>
      <w:r>
        <w:rPr>
          <w:rFonts w:hint="eastAsia" w:ascii="黑体" w:hAnsi="黑体" w:eastAsia="黑体"/>
          <w:sz w:val="52"/>
          <w:szCs w:val="52"/>
        </w:rPr>
        <w:t>202</w:t>
      </w:r>
      <w:r>
        <w:rPr>
          <w:rFonts w:hint="eastAsia" w:ascii="黑体" w:hAnsi="黑体" w:eastAsia="黑体"/>
          <w:sz w:val="52"/>
          <w:szCs w:val="52"/>
          <w:lang w:val="en-US" w:eastAsia="zh-CN"/>
        </w:rPr>
        <w:t>5</w:t>
      </w:r>
      <w:r>
        <w:rPr>
          <w:rFonts w:hint="eastAsia" w:ascii="黑体" w:hAnsi="黑体" w:eastAsia="黑体"/>
          <w:sz w:val="52"/>
          <w:szCs w:val="52"/>
        </w:rPr>
        <w:t>年部门预算</w:t>
      </w:r>
    </w:p>
    <w:p w14:paraId="5C42AB12">
      <w:pPr>
        <w:jc w:val="center"/>
        <w:rPr>
          <w:rFonts w:ascii="黑体" w:hAnsi="黑体" w:eastAsia="黑体"/>
          <w:sz w:val="44"/>
          <w:szCs w:val="44"/>
        </w:rPr>
      </w:pPr>
    </w:p>
    <w:p w14:paraId="5EF162CE">
      <w:pPr>
        <w:jc w:val="center"/>
        <w:rPr>
          <w:rFonts w:ascii="黑体" w:hAnsi="黑体" w:eastAsia="黑体"/>
          <w:sz w:val="44"/>
          <w:szCs w:val="44"/>
        </w:rPr>
      </w:pPr>
    </w:p>
    <w:p w14:paraId="6D7738A2">
      <w:pPr>
        <w:jc w:val="center"/>
        <w:rPr>
          <w:rFonts w:ascii="黑体" w:hAnsi="黑体" w:eastAsia="黑体"/>
          <w:sz w:val="44"/>
          <w:szCs w:val="44"/>
        </w:rPr>
      </w:pPr>
    </w:p>
    <w:p w14:paraId="1997C969">
      <w:pPr>
        <w:jc w:val="center"/>
        <w:rPr>
          <w:rFonts w:ascii="黑体" w:hAnsi="黑体" w:eastAsia="黑体"/>
          <w:sz w:val="44"/>
          <w:szCs w:val="44"/>
        </w:rPr>
      </w:pPr>
    </w:p>
    <w:p w14:paraId="4F4ABFCB">
      <w:pPr>
        <w:jc w:val="center"/>
        <w:rPr>
          <w:rFonts w:ascii="黑体" w:hAnsi="黑体" w:eastAsia="黑体"/>
          <w:sz w:val="44"/>
          <w:szCs w:val="44"/>
        </w:rPr>
      </w:pPr>
    </w:p>
    <w:p w14:paraId="6E03DA41">
      <w:pPr>
        <w:jc w:val="center"/>
        <w:rPr>
          <w:rFonts w:ascii="黑体" w:hAnsi="黑体" w:eastAsia="黑体"/>
          <w:sz w:val="44"/>
          <w:szCs w:val="44"/>
        </w:rPr>
      </w:pPr>
    </w:p>
    <w:p w14:paraId="34D8D65D">
      <w:pPr>
        <w:jc w:val="center"/>
        <w:rPr>
          <w:rFonts w:ascii="黑体" w:hAnsi="黑体" w:eastAsia="黑体"/>
          <w:sz w:val="44"/>
          <w:szCs w:val="44"/>
        </w:rPr>
      </w:pPr>
    </w:p>
    <w:p w14:paraId="01FD5D38">
      <w:pPr>
        <w:jc w:val="center"/>
        <w:rPr>
          <w:rFonts w:ascii="黑体" w:hAnsi="黑体" w:eastAsia="黑体"/>
          <w:sz w:val="44"/>
          <w:szCs w:val="44"/>
        </w:rPr>
      </w:pPr>
    </w:p>
    <w:p w14:paraId="380AB34E">
      <w:pPr>
        <w:jc w:val="center"/>
        <w:rPr>
          <w:rFonts w:ascii="黑体" w:hAnsi="黑体" w:eastAsia="黑体"/>
          <w:sz w:val="44"/>
          <w:szCs w:val="44"/>
        </w:rPr>
      </w:pPr>
    </w:p>
    <w:p w14:paraId="628D9189">
      <w:pPr>
        <w:jc w:val="center"/>
        <w:rPr>
          <w:rFonts w:ascii="黑体" w:hAnsi="黑体" w:eastAsia="黑体"/>
          <w:sz w:val="44"/>
          <w:szCs w:val="44"/>
        </w:rPr>
      </w:pPr>
    </w:p>
    <w:p w14:paraId="6EA5914F">
      <w:pPr>
        <w:jc w:val="center"/>
        <w:rPr>
          <w:rFonts w:ascii="黑体" w:hAnsi="黑体" w:eastAsia="黑体"/>
          <w:sz w:val="44"/>
          <w:szCs w:val="44"/>
          <w:highlight w:val="yellow"/>
        </w:rPr>
      </w:pPr>
      <w:r>
        <w:rPr>
          <w:rFonts w:hint="eastAsia" w:ascii="黑体" w:hAnsi="黑体" w:eastAsia="黑体"/>
          <w:sz w:val="44"/>
          <w:szCs w:val="44"/>
          <w:highlight w:val="yellow"/>
        </w:rPr>
        <w:t>二〇二</w:t>
      </w:r>
      <w:r>
        <w:rPr>
          <w:rFonts w:hint="eastAsia" w:ascii="黑体" w:hAnsi="黑体" w:eastAsia="黑体"/>
          <w:sz w:val="44"/>
          <w:szCs w:val="44"/>
          <w:highlight w:val="yellow"/>
          <w:lang w:eastAsia="zh-CN"/>
        </w:rPr>
        <w:t>五</w:t>
      </w:r>
      <w:r>
        <w:rPr>
          <w:rFonts w:hint="eastAsia" w:ascii="黑体" w:hAnsi="黑体" w:eastAsia="黑体"/>
          <w:sz w:val="44"/>
          <w:szCs w:val="44"/>
          <w:highlight w:val="yellow"/>
        </w:rPr>
        <w:t>年一月</w:t>
      </w:r>
      <w:r>
        <w:rPr>
          <w:rFonts w:hint="eastAsia" w:ascii="黑体" w:hAnsi="黑体" w:eastAsia="黑体"/>
          <w:sz w:val="44"/>
          <w:szCs w:val="44"/>
          <w:highlight w:val="yellow"/>
          <w:lang w:eastAsia="zh-CN"/>
        </w:rPr>
        <w:t>三</w:t>
      </w:r>
      <w:r>
        <w:rPr>
          <w:rFonts w:hint="eastAsia" w:ascii="黑体" w:hAnsi="黑体" w:eastAsia="黑体"/>
          <w:sz w:val="44"/>
          <w:szCs w:val="44"/>
          <w:highlight w:val="yellow"/>
        </w:rPr>
        <w:t>日</w:t>
      </w:r>
    </w:p>
    <w:p w14:paraId="2F1615F9">
      <w:pPr>
        <w:jc w:val="center"/>
        <w:rPr>
          <w:rFonts w:ascii="黑体" w:hAnsi="黑体" w:eastAsia="黑体"/>
          <w:sz w:val="44"/>
          <w:szCs w:val="44"/>
        </w:rPr>
      </w:pPr>
    </w:p>
    <w:p w14:paraId="357EC0AC">
      <w:pPr>
        <w:jc w:val="center"/>
        <w:rPr>
          <w:rFonts w:ascii="黑体" w:hAnsi="黑体" w:eastAsia="黑体"/>
          <w:sz w:val="44"/>
          <w:szCs w:val="44"/>
        </w:rPr>
      </w:pPr>
    </w:p>
    <w:p w14:paraId="661A2997">
      <w:pPr>
        <w:jc w:val="center"/>
        <w:rPr>
          <w:rFonts w:ascii="黑体" w:hAnsi="黑体" w:eastAsia="黑体"/>
          <w:sz w:val="44"/>
          <w:szCs w:val="44"/>
        </w:rPr>
      </w:pPr>
    </w:p>
    <w:p w14:paraId="60FA0F16">
      <w:pPr>
        <w:jc w:val="center"/>
        <w:rPr>
          <w:rFonts w:ascii="黑体" w:hAnsi="黑体" w:eastAsia="黑体"/>
          <w:sz w:val="44"/>
          <w:szCs w:val="44"/>
        </w:rPr>
      </w:pPr>
    </w:p>
    <w:p w14:paraId="74A34429">
      <w:pPr>
        <w:jc w:val="center"/>
        <w:rPr>
          <w:rFonts w:ascii="黑体" w:hAnsi="黑体" w:eastAsia="黑体"/>
          <w:sz w:val="44"/>
          <w:szCs w:val="44"/>
        </w:rPr>
      </w:pPr>
    </w:p>
    <w:p w14:paraId="18C3CAAE">
      <w:pPr>
        <w:jc w:val="center"/>
        <w:rPr>
          <w:rFonts w:ascii="黑体" w:hAnsi="黑体" w:eastAsia="黑体"/>
          <w:sz w:val="44"/>
          <w:szCs w:val="44"/>
        </w:rPr>
      </w:pPr>
    </w:p>
    <w:p w14:paraId="406F54B2">
      <w:pPr>
        <w:jc w:val="center"/>
        <w:rPr>
          <w:rFonts w:ascii="黑体" w:hAnsi="黑体" w:eastAsia="黑体"/>
          <w:sz w:val="44"/>
          <w:szCs w:val="44"/>
        </w:rPr>
      </w:pPr>
      <w:r>
        <w:rPr>
          <w:rFonts w:hint="eastAsia" w:ascii="黑体" w:hAnsi="黑体" w:eastAsia="黑体"/>
          <w:sz w:val="44"/>
          <w:szCs w:val="44"/>
          <w:lang w:eastAsia="zh-CN"/>
        </w:rPr>
        <w:t>永吉县医疗保障局（本级）</w:t>
      </w:r>
      <w:r>
        <w:rPr>
          <w:rFonts w:hint="eastAsia" w:ascii="黑体" w:hAnsi="黑体" w:eastAsia="黑体"/>
          <w:sz w:val="44"/>
          <w:szCs w:val="44"/>
        </w:rPr>
        <w:t>202</w:t>
      </w:r>
      <w:r>
        <w:rPr>
          <w:rFonts w:hint="eastAsia" w:ascii="黑体" w:hAnsi="黑体" w:eastAsia="黑体"/>
          <w:sz w:val="44"/>
          <w:szCs w:val="44"/>
          <w:lang w:val="en-US" w:eastAsia="zh-CN"/>
        </w:rPr>
        <w:t>5</w:t>
      </w:r>
      <w:r>
        <w:rPr>
          <w:rFonts w:hint="eastAsia" w:ascii="黑体" w:hAnsi="黑体" w:eastAsia="黑体"/>
          <w:sz w:val="44"/>
          <w:szCs w:val="44"/>
        </w:rPr>
        <w:t>年预算</w:t>
      </w:r>
    </w:p>
    <w:p w14:paraId="63B0757E">
      <w:pPr>
        <w:tabs>
          <w:tab w:val="left" w:pos="3240"/>
        </w:tabs>
        <w:rPr>
          <w:rFonts w:ascii="黑体" w:hAnsi="黑体" w:eastAsia="黑体"/>
          <w:sz w:val="44"/>
          <w:szCs w:val="44"/>
        </w:rPr>
      </w:pPr>
      <w:r>
        <w:rPr>
          <w:rFonts w:ascii="黑体" w:hAnsi="黑体" w:eastAsia="黑体"/>
          <w:sz w:val="44"/>
          <w:szCs w:val="44"/>
        </w:rPr>
        <w:tab/>
      </w:r>
      <w:r>
        <w:rPr>
          <w:rFonts w:hint="eastAsia" w:ascii="黑体" w:hAnsi="黑体" w:eastAsia="黑体"/>
          <w:sz w:val="44"/>
          <w:szCs w:val="44"/>
        </w:rPr>
        <w:t>目  录</w:t>
      </w:r>
    </w:p>
    <w:p w14:paraId="3BC81682">
      <w:pPr>
        <w:rPr>
          <w:rFonts w:ascii="仿宋" w:hAnsi="仿宋" w:eastAsia="仿宋"/>
          <w:sz w:val="32"/>
          <w:szCs w:val="32"/>
        </w:rPr>
      </w:pPr>
      <w:r>
        <w:rPr>
          <w:rFonts w:hint="eastAsia" w:ascii="仿宋" w:hAnsi="仿宋" w:eastAsia="仿宋"/>
          <w:sz w:val="32"/>
          <w:szCs w:val="32"/>
        </w:rPr>
        <w:t>第一部分  部门概况</w:t>
      </w:r>
    </w:p>
    <w:p w14:paraId="73DDC628">
      <w:pPr>
        <w:pStyle w:val="8"/>
        <w:numPr>
          <w:ilvl w:val="0"/>
          <w:numId w:val="1"/>
        </w:numPr>
        <w:ind w:firstLineChars="0"/>
        <w:rPr>
          <w:rFonts w:ascii="仿宋" w:hAnsi="仿宋" w:eastAsia="仿宋"/>
          <w:sz w:val="32"/>
          <w:szCs w:val="32"/>
        </w:rPr>
      </w:pPr>
      <w:r>
        <w:rPr>
          <w:rFonts w:hint="eastAsia" w:ascii="仿宋" w:hAnsi="仿宋" w:eastAsia="仿宋"/>
          <w:sz w:val="32"/>
          <w:szCs w:val="32"/>
        </w:rPr>
        <w:t>主要职能</w:t>
      </w:r>
    </w:p>
    <w:p w14:paraId="0F6E16B9">
      <w:pPr>
        <w:pStyle w:val="8"/>
        <w:numPr>
          <w:ilvl w:val="0"/>
          <w:numId w:val="1"/>
        </w:numPr>
        <w:ind w:firstLineChars="0"/>
        <w:rPr>
          <w:rFonts w:ascii="仿宋" w:hAnsi="仿宋" w:eastAsia="仿宋"/>
          <w:sz w:val="32"/>
          <w:szCs w:val="32"/>
        </w:rPr>
      </w:pPr>
      <w:r>
        <w:rPr>
          <w:rFonts w:hint="eastAsia" w:ascii="仿宋" w:hAnsi="仿宋" w:eastAsia="仿宋"/>
          <w:sz w:val="32"/>
          <w:szCs w:val="32"/>
        </w:rPr>
        <w:t>机构设置</w:t>
      </w:r>
    </w:p>
    <w:p w14:paraId="5EE08171">
      <w:pPr>
        <w:rPr>
          <w:rFonts w:ascii="仿宋" w:hAnsi="仿宋" w:eastAsia="仿宋"/>
          <w:sz w:val="32"/>
          <w:szCs w:val="32"/>
        </w:rPr>
      </w:pPr>
      <w:r>
        <w:rPr>
          <w:rFonts w:hint="eastAsia" w:ascii="仿宋" w:hAnsi="仿宋" w:eastAsia="仿宋"/>
          <w:sz w:val="32"/>
          <w:szCs w:val="32"/>
        </w:rPr>
        <w:t>第二部分  情况说明</w:t>
      </w:r>
    </w:p>
    <w:p w14:paraId="6F11FF87">
      <w:pPr>
        <w:rPr>
          <w:rFonts w:ascii="仿宋" w:hAnsi="仿宋" w:eastAsia="仿宋"/>
          <w:sz w:val="32"/>
          <w:szCs w:val="32"/>
        </w:rPr>
      </w:pPr>
      <w:r>
        <w:rPr>
          <w:rFonts w:hint="eastAsia" w:ascii="仿宋" w:hAnsi="仿宋" w:eastAsia="仿宋"/>
          <w:sz w:val="32"/>
          <w:szCs w:val="32"/>
        </w:rPr>
        <w:t xml:space="preserve">第三部分  名词解释 </w:t>
      </w:r>
    </w:p>
    <w:p w14:paraId="7BA36606">
      <w:pPr>
        <w:rPr>
          <w:rFonts w:ascii="仿宋" w:hAnsi="仿宋" w:eastAsia="仿宋"/>
          <w:sz w:val="32"/>
          <w:szCs w:val="32"/>
        </w:rPr>
      </w:pPr>
      <w:r>
        <w:rPr>
          <w:rFonts w:hint="eastAsia" w:ascii="仿宋" w:hAnsi="仿宋" w:eastAsia="仿宋"/>
          <w:sz w:val="32"/>
          <w:szCs w:val="32"/>
        </w:rPr>
        <w:t>第四部分  预算表格</w:t>
      </w:r>
    </w:p>
    <w:p w14:paraId="07E4B539">
      <w:pPr>
        <w:pStyle w:val="8"/>
        <w:numPr>
          <w:ilvl w:val="0"/>
          <w:numId w:val="2"/>
        </w:numPr>
        <w:ind w:firstLineChars="0"/>
        <w:rPr>
          <w:rFonts w:ascii="仿宋" w:hAnsi="仿宋" w:eastAsia="仿宋"/>
          <w:sz w:val="32"/>
          <w:szCs w:val="32"/>
        </w:rPr>
      </w:pPr>
      <w:r>
        <w:rPr>
          <w:rFonts w:hint="eastAsia" w:ascii="仿宋" w:hAnsi="仿宋" w:eastAsia="仿宋"/>
          <w:sz w:val="32"/>
          <w:szCs w:val="32"/>
        </w:rPr>
        <w:t>收支总表</w:t>
      </w:r>
    </w:p>
    <w:p w14:paraId="257AF41A">
      <w:pPr>
        <w:pStyle w:val="8"/>
        <w:numPr>
          <w:ilvl w:val="0"/>
          <w:numId w:val="2"/>
        </w:numPr>
        <w:ind w:firstLineChars="0"/>
        <w:rPr>
          <w:rFonts w:ascii="仿宋" w:hAnsi="仿宋" w:eastAsia="仿宋"/>
          <w:sz w:val="32"/>
          <w:szCs w:val="32"/>
        </w:rPr>
      </w:pPr>
      <w:r>
        <w:rPr>
          <w:rFonts w:hint="eastAsia" w:ascii="仿宋" w:hAnsi="仿宋" w:eastAsia="仿宋"/>
          <w:sz w:val="32"/>
          <w:szCs w:val="32"/>
        </w:rPr>
        <w:t>收入总表</w:t>
      </w:r>
    </w:p>
    <w:p w14:paraId="490A2BEB">
      <w:pPr>
        <w:pStyle w:val="8"/>
        <w:numPr>
          <w:ilvl w:val="0"/>
          <w:numId w:val="2"/>
        </w:numPr>
        <w:ind w:firstLineChars="0"/>
        <w:rPr>
          <w:rFonts w:ascii="仿宋" w:hAnsi="仿宋" w:eastAsia="仿宋"/>
          <w:sz w:val="32"/>
          <w:szCs w:val="32"/>
        </w:rPr>
      </w:pPr>
      <w:r>
        <w:rPr>
          <w:rFonts w:hint="eastAsia" w:ascii="仿宋" w:hAnsi="仿宋" w:eastAsia="仿宋"/>
          <w:sz w:val="32"/>
          <w:szCs w:val="32"/>
        </w:rPr>
        <w:t>支出总表</w:t>
      </w:r>
    </w:p>
    <w:p w14:paraId="5F6425A5">
      <w:pPr>
        <w:pStyle w:val="8"/>
        <w:numPr>
          <w:ilvl w:val="0"/>
          <w:numId w:val="2"/>
        </w:numPr>
        <w:ind w:firstLineChars="0"/>
        <w:rPr>
          <w:rFonts w:ascii="仿宋" w:hAnsi="仿宋" w:eastAsia="仿宋"/>
          <w:sz w:val="32"/>
          <w:szCs w:val="32"/>
        </w:rPr>
      </w:pPr>
      <w:r>
        <w:rPr>
          <w:rFonts w:hint="eastAsia" w:ascii="仿宋" w:hAnsi="仿宋" w:eastAsia="仿宋"/>
          <w:sz w:val="32"/>
          <w:szCs w:val="32"/>
        </w:rPr>
        <w:t>财政拨款收支总表</w:t>
      </w:r>
    </w:p>
    <w:p w14:paraId="5006371A">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一般公共预算支出表</w:t>
      </w:r>
    </w:p>
    <w:p w14:paraId="6CBA4F02">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一般公共预算财政拨款基本支出预算表</w:t>
      </w:r>
    </w:p>
    <w:p w14:paraId="534C5B24">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一般公共预算“三公”经费支出表</w:t>
      </w:r>
    </w:p>
    <w:p w14:paraId="4685FD46">
      <w:pPr>
        <w:pStyle w:val="8"/>
        <w:numPr>
          <w:ilvl w:val="0"/>
          <w:numId w:val="2"/>
        </w:numPr>
        <w:ind w:firstLineChars="0"/>
        <w:rPr>
          <w:rFonts w:ascii="仿宋" w:hAnsi="仿宋" w:eastAsia="仿宋"/>
          <w:sz w:val="32"/>
          <w:szCs w:val="32"/>
        </w:rPr>
      </w:pPr>
      <w:r>
        <w:rPr>
          <w:rFonts w:hint="eastAsia" w:ascii="仿宋" w:hAnsi="仿宋" w:eastAsia="仿宋"/>
          <w:sz w:val="32"/>
          <w:szCs w:val="32"/>
        </w:rPr>
        <w:t>政府性基金预算支出表</w:t>
      </w:r>
    </w:p>
    <w:p w14:paraId="696DB8AF">
      <w:pPr>
        <w:pStyle w:val="8"/>
        <w:numPr>
          <w:ilvl w:val="0"/>
          <w:numId w:val="2"/>
        </w:numPr>
        <w:ind w:firstLineChars="0"/>
        <w:rPr>
          <w:rFonts w:ascii="仿宋" w:hAnsi="仿宋" w:eastAsia="仿宋"/>
          <w:sz w:val="32"/>
          <w:szCs w:val="32"/>
        </w:rPr>
      </w:pPr>
      <w:r>
        <w:rPr>
          <w:rFonts w:hint="eastAsia" w:ascii="仿宋" w:hAnsi="仿宋" w:eastAsia="仿宋"/>
          <w:sz w:val="32"/>
          <w:szCs w:val="32"/>
        </w:rPr>
        <w:t>国有资本经营预算支出表</w:t>
      </w:r>
    </w:p>
    <w:p w14:paraId="2C937F03">
      <w:pPr>
        <w:pStyle w:val="8"/>
        <w:numPr>
          <w:ilvl w:val="0"/>
          <w:numId w:val="2"/>
        </w:numPr>
        <w:ind w:firstLineChars="0"/>
        <w:rPr>
          <w:rFonts w:ascii="仿宋" w:hAnsi="仿宋" w:eastAsia="仿宋"/>
          <w:sz w:val="32"/>
          <w:szCs w:val="32"/>
        </w:rPr>
      </w:pPr>
      <w:r>
        <w:rPr>
          <w:rFonts w:hint="eastAsia" w:ascii="仿宋" w:hAnsi="仿宋" w:eastAsia="仿宋"/>
          <w:sz w:val="32"/>
          <w:szCs w:val="32"/>
        </w:rPr>
        <w:t>项目支出表</w:t>
      </w:r>
    </w:p>
    <w:p w14:paraId="3CED8429">
      <w:pPr>
        <w:rPr>
          <w:rFonts w:ascii="仿宋" w:hAnsi="仿宋" w:eastAsia="仿宋"/>
          <w:sz w:val="32"/>
          <w:szCs w:val="32"/>
        </w:rPr>
      </w:pPr>
    </w:p>
    <w:p w14:paraId="69BD7CEA">
      <w:pPr>
        <w:rPr>
          <w:rFonts w:ascii="仿宋" w:hAnsi="仿宋" w:eastAsia="仿宋"/>
          <w:sz w:val="32"/>
          <w:szCs w:val="32"/>
        </w:rPr>
      </w:pPr>
    </w:p>
    <w:p w14:paraId="549DAA5E">
      <w:pPr>
        <w:rPr>
          <w:rFonts w:ascii="仿宋" w:hAnsi="仿宋" w:eastAsia="仿宋"/>
          <w:sz w:val="32"/>
          <w:szCs w:val="32"/>
        </w:rPr>
      </w:pPr>
    </w:p>
    <w:p w14:paraId="4E48F873">
      <w:pPr>
        <w:jc w:val="center"/>
        <w:rPr>
          <w:rFonts w:ascii="黑体" w:hAnsi="黑体" w:eastAsia="黑体"/>
          <w:sz w:val="32"/>
          <w:szCs w:val="32"/>
        </w:rPr>
      </w:pPr>
      <w:r>
        <w:rPr>
          <w:rFonts w:hint="eastAsia" w:ascii="黑体" w:hAnsi="黑体" w:eastAsia="黑体"/>
          <w:sz w:val="32"/>
          <w:szCs w:val="32"/>
        </w:rPr>
        <w:t>第一部分    部门（单位）概况</w:t>
      </w:r>
    </w:p>
    <w:p w14:paraId="519B9A34">
      <w:pPr>
        <w:jc w:val="left"/>
        <w:rPr>
          <w:rFonts w:ascii="仿宋" w:hAnsi="仿宋" w:eastAsia="仿宋"/>
          <w:sz w:val="32"/>
          <w:szCs w:val="32"/>
        </w:rPr>
      </w:pPr>
      <w:r>
        <w:rPr>
          <w:rFonts w:hint="eastAsia" w:ascii="仿宋" w:hAnsi="仿宋" w:eastAsia="仿宋"/>
          <w:sz w:val="32"/>
          <w:szCs w:val="32"/>
        </w:rPr>
        <w:t xml:space="preserve">  </w:t>
      </w:r>
    </w:p>
    <w:p w14:paraId="66AD7C00">
      <w:pPr>
        <w:jc w:val="left"/>
        <w:rPr>
          <w:rFonts w:ascii="仿宋" w:hAnsi="仿宋" w:eastAsia="仿宋"/>
          <w:sz w:val="32"/>
          <w:szCs w:val="32"/>
        </w:rPr>
      </w:pPr>
      <w:r>
        <w:rPr>
          <w:rFonts w:hint="eastAsia" w:ascii="仿宋" w:hAnsi="仿宋" w:eastAsia="仿宋"/>
          <w:sz w:val="32"/>
          <w:szCs w:val="32"/>
        </w:rPr>
        <w:t xml:space="preserve"> 一、主要职能</w:t>
      </w:r>
    </w:p>
    <w:p w14:paraId="38B0AA4D">
      <w:pPr>
        <w:pStyle w:val="10"/>
        <w:widowControl/>
        <w:spacing w:line="620" w:lineRule="exact"/>
        <w:ind w:firstLine="627" w:firstLineChars="196"/>
        <w:contextualSpacing/>
        <w:rPr>
          <w:rFonts w:hint="eastAsia" w:ascii="仿宋" w:hAnsi="仿宋" w:eastAsia="仿宋"/>
          <w:bCs/>
          <w:kern w:val="0"/>
          <w:sz w:val="32"/>
          <w:szCs w:val="32"/>
          <w:lang w:eastAsia="zh-CN"/>
        </w:rPr>
      </w:pPr>
      <w:r>
        <w:rPr>
          <w:rFonts w:hint="eastAsia" w:ascii="仿宋" w:hAnsi="仿宋" w:eastAsia="仿宋"/>
          <w:bCs/>
          <w:sz w:val="32"/>
          <w:szCs w:val="32"/>
        </w:rPr>
        <w:t>单位</w:t>
      </w:r>
      <w:r>
        <w:rPr>
          <w:rFonts w:hint="eastAsia" w:ascii="仿宋" w:hAnsi="仿宋" w:eastAsia="仿宋"/>
          <w:bCs/>
          <w:kern w:val="0"/>
          <w:sz w:val="32"/>
          <w:szCs w:val="32"/>
        </w:rPr>
        <w:t>名称：</w:t>
      </w:r>
      <w:r>
        <w:rPr>
          <w:rFonts w:hint="eastAsia" w:ascii="仿宋" w:hAnsi="仿宋" w:eastAsia="仿宋"/>
          <w:bCs/>
          <w:kern w:val="0"/>
          <w:sz w:val="32"/>
          <w:szCs w:val="32"/>
          <w:lang w:eastAsia="zh-CN"/>
        </w:rPr>
        <w:t>永吉县医疗保障局（本级）</w:t>
      </w:r>
    </w:p>
    <w:p w14:paraId="72BCF8C3">
      <w:pPr>
        <w:pStyle w:val="10"/>
        <w:widowControl/>
        <w:spacing w:line="620" w:lineRule="exact"/>
        <w:ind w:firstLine="627" w:firstLineChars="196"/>
        <w:contextualSpacing/>
        <w:rPr>
          <w:rFonts w:ascii="仿宋" w:hAnsi="仿宋" w:eastAsia="仿宋"/>
          <w:kern w:val="0"/>
          <w:sz w:val="32"/>
          <w:szCs w:val="32"/>
        </w:rPr>
      </w:pPr>
      <w:r>
        <w:rPr>
          <w:rFonts w:hint="eastAsia" w:ascii="仿宋" w:hAnsi="仿宋" w:eastAsia="仿宋"/>
          <w:bCs/>
          <w:kern w:val="0"/>
          <w:sz w:val="32"/>
          <w:szCs w:val="32"/>
        </w:rPr>
        <w:t>单位性质</w:t>
      </w:r>
      <w:r>
        <w:rPr>
          <w:rFonts w:hint="eastAsia" w:ascii="仿宋" w:hAnsi="仿宋" w:eastAsia="仿宋"/>
          <w:kern w:val="0"/>
          <w:sz w:val="32"/>
          <w:szCs w:val="32"/>
        </w:rPr>
        <w:t>：行政单位</w:t>
      </w:r>
    </w:p>
    <w:p w14:paraId="5ECE248B">
      <w:pPr>
        <w:pStyle w:val="10"/>
        <w:widowControl/>
        <w:spacing w:line="620" w:lineRule="exact"/>
        <w:ind w:firstLine="627" w:firstLineChars="196"/>
        <w:contextualSpacing/>
        <w:rPr>
          <w:rFonts w:hint="eastAsia" w:ascii="仿宋" w:hAnsi="仿宋" w:eastAsia="仿宋"/>
          <w:bCs/>
          <w:kern w:val="0"/>
          <w:sz w:val="32"/>
          <w:szCs w:val="32"/>
        </w:rPr>
      </w:pPr>
      <w:r>
        <w:rPr>
          <w:rFonts w:hint="eastAsia" w:ascii="仿宋" w:hAnsi="仿宋" w:eastAsia="仿宋"/>
          <w:bCs/>
          <w:kern w:val="0"/>
          <w:sz w:val="32"/>
          <w:szCs w:val="32"/>
        </w:rPr>
        <w:t>主要职能：</w:t>
      </w:r>
    </w:p>
    <w:p w14:paraId="06A974C0">
      <w:pPr>
        <w:pStyle w:val="10"/>
        <w:keepNext w:val="0"/>
        <w:keepLines w:val="0"/>
        <w:pageBreakBefore w:val="0"/>
        <w:widowControl/>
        <w:kinsoku/>
        <w:wordWrap/>
        <w:overflowPunct/>
        <w:topLinePunct w:val="0"/>
        <w:autoSpaceDE/>
        <w:autoSpaceDN/>
        <w:bidi w:val="0"/>
        <w:adjustRightInd/>
        <w:snapToGrid/>
        <w:spacing w:line="620" w:lineRule="exact"/>
        <w:ind w:firstLine="640" w:firstLineChars="200"/>
        <w:contextualSpacing/>
        <w:textAlignment w:val="auto"/>
        <w:rPr>
          <w:rFonts w:ascii="仿宋" w:hAnsi="仿宋" w:eastAsia="仿宋"/>
          <w:kern w:val="0"/>
          <w:sz w:val="32"/>
          <w:szCs w:val="32"/>
        </w:rPr>
      </w:pPr>
      <w:r>
        <w:rPr>
          <w:rFonts w:hint="eastAsia" w:ascii="仿宋" w:hAnsi="仿宋" w:eastAsia="仿宋"/>
          <w:kern w:val="0"/>
          <w:sz w:val="32"/>
          <w:szCs w:val="32"/>
        </w:rPr>
        <w:t>（1）贯彻执行国家、省、市有关医疗保险、生育保险、医疗救助等医疗保障制度的法律法规和政策规定。</w:t>
      </w:r>
    </w:p>
    <w:p w14:paraId="68EDBE1F">
      <w:pPr>
        <w:pStyle w:val="10"/>
        <w:keepNext w:val="0"/>
        <w:keepLines w:val="0"/>
        <w:pageBreakBefore w:val="0"/>
        <w:widowControl/>
        <w:kinsoku/>
        <w:wordWrap/>
        <w:overflowPunct/>
        <w:topLinePunct w:val="0"/>
        <w:autoSpaceDE/>
        <w:autoSpaceDN/>
        <w:bidi w:val="0"/>
        <w:adjustRightInd/>
        <w:snapToGrid/>
        <w:spacing w:line="620" w:lineRule="exact"/>
        <w:ind w:firstLine="640" w:firstLineChars="200"/>
        <w:contextualSpacing/>
        <w:textAlignment w:val="auto"/>
        <w:rPr>
          <w:rFonts w:ascii="仿宋" w:hAnsi="仿宋" w:eastAsia="仿宋"/>
          <w:kern w:val="0"/>
          <w:sz w:val="32"/>
          <w:szCs w:val="32"/>
        </w:rPr>
      </w:pPr>
      <w:r>
        <w:rPr>
          <w:rFonts w:hint="eastAsia" w:ascii="仿宋" w:hAnsi="仿宋" w:eastAsia="仿宋"/>
          <w:kern w:val="0"/>
          <w:sz w:val="32"/>
          <w:szCs w:val="32"/>
        </w:rPr>
        <w:t>（2）组织实施医疗保障基金监督管理办法、建立健全医疗保障基金安全防控机制，推进医疗保障基金支付方式改革。</w:t>
      </w:r>
    </w:p>
    <w:p w14:paraId="6B74B819">
      <w:pPr>
        <w:pStyle w:val="10"/>
        <w:keepNext w:val="0"/>
        <w:keepLines w:val="0"/>
        <w:pageBreakBefore w:val="0"/>
        <w:widowControl/>
        <w:kinsoku/>
        <w:wordWrap/>
        <w:overflowPunct/>
        <w:topLinePunct w:val="0"/>
        <w:autoSpaceDE/>
        <w:autoSpaceDN/>
        <w:bidi w:val="0"/>
        <w:adjustRightInd/>
        <w:snapToGrid/>
        <w:spacing w:line="620" w:lineRule="exact"/>
        <w:ind w:firstLine="640" w:firstLineChars="200"/>
        <w:contextualSpacing/>
        <w:textAlignment w:val="auto"/>
        <w:rPr>
          <w:rFonts w:ascii="仿宋" w:hAnsi="仿宋" w:eastAsia="仿宋"/>
          <w:kern w:val="0"/>
          <w:sz w:val="32"/>
          <w:szCs w:val="32"/>
        </w:rPr>
      </w:pPr>
      <w:r>
        <w:rPr>
          <w:rFonts w:hint="eastAsia" w:ascii="仿宋" w:hAnsi="仿宋" w:eastAsia="仿宋"/>
          <w:kern w:val="0"/>
          <w:sz w:val="32"/>
          <w:szCs w:val="32"/>
        </w:rPr>
        <w:t>（3）组织实施医疗保障筹资和待遇政策，落实国家长期护理保险制度改革方案并组织实施。</w:t>
      </w:r>
    </w:p>
    <w:p w14:paraId="76A40C67">
      <w:pPr>
        <w:pStyle w:val="10"/>
        <w:keepNext w:val="0"/>
        <w:keepLines w:val="0"/>
        <w:pageBreakBefore w:val="0"/>
        <w:widowControl/>
        <w:kinsoku/>
        <w:wordWrap/>
        <w:overflowPunct/>
        <w:topLinePunct w:val="0"/>
        <w:autoSpaceDE/>
        <w:autoSpaceDN/>
        <w:bidi w:val="0"/>
        <w:adjustRightInd/>
        <w:snapToGrid/>
        <w:spacing w:line="620" w:lineRule="exact"/>
        <w:ind w:firstLine="640" w:firstLineChars="200"/>
        <w:contextualSpacing/>
        <w:textAlignment w:val="auto"/>
        <w:rPr>
          <w:rFonts w:ascii="仿宋" w:hAnsi="仿宋" w:eastAsia="仿宋"/>
          <w:kern w:val="0"/>
          <w:sz w:val="32"/>
          <w:szCs w:val="32"/>
        </w:rPr>
      </w:pPr>
      <w:r>
        <w:rPr>
          <w:rFonts w:hint="eastAsia" w:ascii="仿宋" w:hAnsi="仿宋" w:eastAsia="仿宋"/>
          <w:kern w:val="0"/>
          <w:sz w:val="32"/>
          <w:szCs w:val="32"/>
        </w:rPr>
        <w:t>（</w:t>
      </w:r>
      <w:r>
        <w:rPr>
          <w:rFonts w:hint="eastAsia" w:ascii="仿宋" w:hAnsi="仿宋" w:eastAsia="仿宋"/>
          <w:kern w:val="0"/>
          <w:sz w:val="32"/>
          <w:szCs w:val="32"/>
          <w:lang w:val="en-US" w:eastAsia="zh-CN"/>
        </w:rPr>
        <w:t>4</w:t>
      </w:r>
      <w:r>
        <w:rPr>
          <w:rFonts w:hint="eastAsia" w:ascii="仿宋" w:hAnsi="仿宋" w:eastAsia="仿宋"/>
          <w:kern w:val="0"/>
          <w:sz w:val="32"/>
          <w:szCs w:val="32"/>
        </w:rPr>
        <w:t>）执行国家、省、市有关药品、医用耗材、医疗服务项目、医疗服务设施等医保目录的准入、收费标准、招标采购、监督管理等政策。</w:t>
      </w:r>
    </w:p>
    <w:p w14:paraId="14344453">
      <w:pPr>
        <w:pStyle w:val="10"/>
        <w:keepNext w:val="0"/>
        <w:keepLines w:val="0"/>
        <w:pageBreakBefore w:val="0"/>
        <w:widowControl/>
        <w:kinsoku/>
        <w:wordWrap/>
        <w:overflowPunct/>
        <w:topLinePunct w:val="0"/>
        <w:autoSpaceDE/>
        <w:autoSpaceDN/>
        <w:bidi w:val="0"/>
        <w:adjustRightInd/>
        <w:snapToGrid/>
        <w:spacing w:line="620" w:lineRule="exact"/>
        <w:ind w:firstLine="640" w:firstLineChars="200"/>
        <w:contextualSpacing/>
        <w:textAlignment w:val="auto"/>
        <w:rPr>
          <w:rFonts w:ascii="仿宋" w:hAnsi="仿宋" w:eastAsia="仿宋"/>
          <w:kern w:val="0"/>
          <w:sz w:val="32"/>
          <w:szCs w:val="32"/>
        </w:rPr>
      </w:pPr>
      <w:r>
        <w:rPr>
          <w:rFonts w:hint="eastAsia" w:ascii="仿宋" w:hAnsi="仿宋" w:eastAsia="仿宋"/>
          <w:kern w:val="0"/>
          <w:sz w:val="32"/>
          <w:szCs w:val="32"/>
        </w:rPr>
        <w:t>（</w:t>
      </w:r>
      <w:r>
        <w:rPr>
          <w:rFonts w:hint="eastAsia" w:ascii="仿宋" w:hAnsi="仿宋" w:eastAsia="仿宋"/>
          <w:kern w:val="0"/>
          <w:sz w:val="32"/>
          <w:szCs w:val="32"/>
          <w:lang w:val="en-US" w:eastAsia="zh-CN"/>
        </w:rPr>
        <w:t>5</w:t>
      </w:r>
      <w:r>
        <w:rPr>
          <w:rFonts w:hint="eastAsia" w:ascii="仿宋" w:hAnsi="仿宋" w:eastAsia="仿宋"/>
          <w:kern w:val="0"/>
          <w:sz w:val="32"/>
          <w:szCs w:val="32"/>
        </w:rPr>
        <w:t>）制定定点医药机构协议和支付管理办法并组织实施，建立健全医疗保障信用评价体系和信息披露制度,监督管理纳入医疗保障范围内的医疗服务行为和医疗费用,依法查处医疗保障领域违法违规行为。</w:t>
      </w:r>
    </w:p>
    <w:p w14:paraId="56672BE5">
      <w:pPr>
        <w:pStyle w:val="10"/>
        <w:keepNext w:val="0"/>
        <w:keepLines w:val="0"/>
        <w:pageBreakBefore w:val="0"/>
        <w:widowControl/>
        <w:kinsoku/>
        <w:wordWrap/>
        <w:overflowPunct/>
        <w:topLinePunct w:val="0"/>
        <w:autoSpaceDE/>
        <w:autoSpaceDN/>
        <w:bidi w:val="0"/>
        <w:adjustRightInd/>
        <w:snapToGrid/>
        <w:spacing w:line="620" w:lineRule="exact"/>
        <w:ind w:firstLine="640" w:firstLineChars="200"/>
        <w:contextualSpacing/>
        <w:textAlignment w:val="auto"/>
        <w:rPr>
          <w:rFonts w:ascii="仿宋" w:hAnsi="仿宋" w:eastAsia="仿宋"/>
          <w:kern w:val="0"/>
          <w:sz w:val="32"/>
          <w:szCs w:val="32"/>
        </w:rPr>
      </w:pPr>
      <w:r>
        <w:rPr>
          <w:rFonts w:hint="eastAsia" w:ascii="仿宋" w:hAnsi="仿宋" w:eastAsia="仿宋"/>
          <w:kern w:val="0"/>
          <w:sz w:val="32"/>
          <w:szCs w:val="32"/>
        </w:rPr>
        <w:t>（</w:t>
      </w:r>
      <w:r>
        <w:rPr>
          <w:rFonts w:hint="eastAsia" w:ascii="仿宋" w:hAnsi="仿宋" w:eastAsia="仿宋"/>
          <w:kern w:val="0"/>
          <w:sz w:val="32"/>
          <w:szCs w:val="32"/>
          <w:lang w:val="en-US" w:eastAsia="zh-CN"/>
        </w:rPr>
        <w:t>6</w:t>
      </w:r>
      <w:r>
        <w:rPr>
          <w:rFonts w:hint="eastAsia" w:ascii="仿宋" w:hAnsi="仿宋" w:eastAsia="仿宋"/>
          <w:kern w:val="0"/>
          <w:sz w:val="32"/>
          <w:szCs w:val="32"/>
        </w:rPr>
        <w:t>）负责医疗保障经办管理、公共服务体系和信息化建设。组织实施和完善异地就医管理和费用结算。建立健全医疗保障关系转移接续制度。</w:t>
      </w:r>
    </w:p>
    <w:p w14:paraId="1A7A04A6">
      <w:pPr>
        <w:pStyle w:val="10"/>
        <w:keepNext w:val="0"/>
        <w:keepLines w:val="0"/>
        <w:pageBreakBefore w:val="0"/>
        <w:widowControl/>
        <w:kinsoku/>
        <w:wordWrap/>
        <w:overflowPunct/>
        <w:topLinePunct w:val="0"/>
        <w:autoSpaceDE/>
        <w:autoSpaceDN/>
        <w:bidi w:val="0"/>
        <w:adjustRightInd/>
        <w:snapToGrid/>
        <w:spacing w:line="620" w:lineRule="exact"/>
        <w:ind w:firstLine="640" w:firstLineChars="200"/>
        <w:contextualSpacing/>
        <w:textAlignment w:val="auto"/>
        <w:rPr>
          <w:rFonts w:hint="eastAsia" w:ascii="仿宋" w:hAnsi="仿宋" w:eastAsia="仿宋"/>
          <w:sz w:val="32"/>
          <w:szCs w:val="32"/>
        </w:rPr>
      </w:pPr>
      <w:r>
        <w:rPr>
          <w:rFonts w:hint="eastAsia" w:ascii="仿宋" w:hAnsi="仿宋" w:eastAsia="仿宋"/>
          <w:kern w:val="0"/>
          <w:sz w:val="32"/>
          <w:szCs w:val="32"/>
        </w:rPr>
        <w:t>（</w:t>
      </w:r>
      <w:r>
        <w:rPr>
          <w:rFonts w:hint="eastAsia" w:ascii="仿宋" w:hAnsi="仿宋" w:eastAsia="仿宋"/>
          <w:kern w:val="0"/>
          <w:sz w:val="32"/>
          <w:szCs w:val="32"/>
          <w:lang w:val="en-US" w:eastAsia="zh-CN"/>
        </w:rPr>
        <w:t>7）</w:t>
      </w:r>
      <w:r>
        <w:rPr>
          <w:rFonts w:hint="eastAsia" w:ascii="仿宋" w:hAnsi="仿宋" w:eastAsia="仿宋"/>
          <w:kern w:val="0"/>
          <w:sz w:val="32"/>
          <w:szCs w:val="32"/>
        </w:rPr>
        <w:t>完善统一城乡居民基本医疗保险制度和大病保险制度，建立健全覆盖全民、城乡统筹的多层次医疗保障体系，不断提高医疗保障水平,确保医保资金合理使用,安全可控,推进医疗、医保、医药“三医联动”改革,更好保障人民群众就医需求、减轻医药费负担。</w:t>
      </w:r>
    </w:p>
    <w:p w14:paraId="6D752CA2">
      <w:pPr>
        <w:pStyle w:val="10"/>
        <w:widowControl/>
        <w:spacing w:line="620" w:lineRule="exact"/>
        <w:ind w:firstLine="320" w:firstLineChars="100"/>
        <w:contextualSpacing/>
        <w:rPr>
          <w:rFonts w:ascii="仿宋" w:hAnsi="仿宋" w:eastAsia="仿宋"/>
          <w:sz w:val="32"/>
          <w:szCs w:val="32"/>
        </w:rPr>
      </w:pPr>
      <w:r>
        <w:rPr>
          <w:rFonts w:hint="eastAsia" w:ascii="仿宋" w:hAnsi="仿宋" w:eastAsia="仿宋"/>
          <w:sz w:val="32"/>
          <w:szCs w:val="32"/>
        </w:rPr>
        <w:t>二、机构设置</w:t>
      </w:r>
    </w:p>
    <w:p w14:paraId="71A011C1">
      <w:pPr>
        <w:pStyle w:val="12"/>
        <w:ind w:firstLine="627" w:firstLineChars="196"/>
        <w:rPr>
          <w:rFonts w:ascii="仿宋" w:hAnsi="仿宋" w:eastAsia="仿宋"/>
          <w:kern w:val="0"/>
          <w:szCs w:val="32"/>
        </w:rPr>
      </w:pPr>
      <w:r>
        <w:rPr>
          <w:rFonts w:hint="eastAsia" w:ascii="仿宋" w:hAnsi="仿宋" w:eastAsia="仿宋"/>
          <w:kern w:val="0"/>
          <w:szCs w:val="32"/>
        </w:rPr>
        <w:t>机构设置包括：综合科、医保科。</w:t>
      </w:r>
    </w:p>
    <w:p w14:paraId="4435C363">
      <w:pPr>
        <w:pStyle w:val="12"/>
        <w:ind w:firstLine="627" w:firstLineChars="196"/>
        <w:rPr>
          <w:rFonts w:ascii="仿宋" w:hAnsi="仿宋" w:eastAsia="仿宋"/>
          <w:kern w:val="0"/>
          <w:szCs w:val="32"/>
        </w:rPr>
      </w:pPr>
      <w:r>
        <w:rPr>
          <w:rFonts w:hint="eastAsia" w:ascii="仿宋" w:hAnsi="仿宋" w:eastAsia="仿宋"/>
          <w:kern w:val="0"/>
          <w:szCs w:val="32"/>
        </w:rPr>
        <w:t>人员情况：在职人员</w:t>
      </w:r>
      <w:r>
        <w:rPr>
          <w:rFonts w:hint="eastAsia" w:ascii="仿宋" w:hAnsi="仿宋" w:eastAsia="仿宋"/>
          <w:kern w:val="0"/>
          <w:szCs w:val="32"/>
          <w:lang w:val="en-US" w:eastAsia="zh-CN"/>
        </w:rPr>
        <w:t>6</w:t>
      </w:r>
      <w:r>
        <w:rPr>
          <w:rFonts w:hint="eastAsia" w:ascii="仿宋" w:hAnsi="仿宋" w:eastAsia="仿宋"/>
          <w:kern w:val="0"/>
          <w:szCs w:val="32"/>
        </w:rPr>
        <w:t>人，编制数</w:t>
      </w:r>
      <w:r>
        <w:rPr>
          <w:rFonts w:hint="eastAsia" w:ascii="仿宋" w:hAnsi="仿宋" w:eastAsia="仿宋"/>
          <w:kern w:val="0"/>
          <w:szCs w:val="32"/>
          <w:lang w:val="en-US" w:eastAsia="zh-CN"/>
        </w:rPr>
        <w:t>6</w:t>
      </w:r>
      <w:r>
        <w:rPr>
          <w:rFonts w:hint="eastAsia" w:ascii="仿宋" w:hAnsi="仿宋" w:eastAsia="仿宋"/>
          <w:kern w:val="0"/>
          <w:szCs w:val="32"/>
        </w:rPr>
        <w:t>人，领导职数</w:t>
      </w:r>
      <w:r>
        <w:rPr>
          <w:rFonts w:hint="eastAsia" w:ascii="仿宋" w:hAnsi="仿宋" w:eastAsia="仿宋"/>
          <w:kern w:val="0"/>
          <w:szCs w:val="32"/>
          <w:lang w:val="en-US" w:eastAsia="zh-CN"/>
        </w:rPr>
        <w:t>2</w:t>
      </w:r>
      <w:r>
        <w:rPr>
          <w:rFonts w:hint="eastAsia" w:ascii="仿宋" w:hAnsi="仿宋" w:eastAsia="仿宋"/>
          <w:kern w:val="0"/>
          <w:szCs w:val="32"/>
        </w:rPr>
        <w:t>个。</w:t>
      </w:r>
    </w:p>
    <w:p w14:paraId="4A40C3F9">
      <w:pPr>
        <w:jc w:val="left"/>
        <w:rPr>
          <w:rFonts w:ascii="仿宋" w:hAnsi="仿宋" w:eastAsia="仿宋"/>
          <w:sz w:val="32"/>
          <w:szCs w:val="32"/>
        </w:rPr>
      </w:pPr>
    </w:p>
    <w:p w14:paraId="2327A84A">
      <w:pPr>
        <w:jc w:val="left"/>
        <w:rPr>
          <w:rFonts w:ascii="仿宋" w:hAnsi="仿宋" w:eastAsia="仿宋"/>
          <w:sz w:val="32"/>
          <w:szCs w:val="32"/>
        </w:rPr>
      </w:pPr>
    </w:p>
    <w:p w14:paraId="30EC7C30">
      <w:pPr>
        <w:jc w:val="left"/>
        <w:rPr>
          <w:rFonts w:ascii="仿宋" w:hAnsi="仿宋" w:eastAsia="仿宋"/>
          <w:sz w:val="32"/>
          <w:szCs w:val="32"/>
        </w:rPr>
      </w:pPr>
    </w:p>
    <w:p w14:paraId="22022DA2">
      <w:pPr>
        <w:jc w:val="left"/>
        <w:rPr>
          <w:rFonts w:ascii="仿宋" w:hAnsi="仿宋" w:eastAsia="仿宋"/>
          <w:sz w:val="32"/>
          <w:szCs w:val="32"/>
        </w:rPr>
      </w:pPr>
    </w:p>
    <w:p w14:paraId="4494DF1B">
      <w:pPr>
        <w:jc w:val="left"/>
        <w:rPr>
          <w:rFonts w:ascii="仿宋" w:hAnsi="仿宋" w:eastAsia="仿宋"/>
          <w:sz w:val="32"/>
          <w:szCs w:val="32"/>
        </w:rPr>
      </w:pPr>
    </w:p>
    <w:p w14:paraId="57CB687A">
      <w:pPr>
        <w:jc w:val="left"/>
        <w:rPr>
          <w:rFonts w:ascii="仿宋" w:hAnsi="仿宋" w:eastAsia="仿宋"/>
          <w:sz w:val="32"/>
          <w:szCs w:val="32"/>
        </w:rPr>
      </w:pPr>
    </w:p>
    <w:p w14:paraId="00B77722">
      <w:pPr>
        <w:jc w:val="left"/>
        <w:rPr>
          <w:rFonts w:ascii="仿宋" w:hAnsi="仿宋" w:eastAsia="仿宋"/>
          <w:sz w:val="32"/>
          <w:szCs w:val="32"/>
        </w:rPr>
      </w:pPr>
    </w:p>
    <w:p w14:paraId="546B2C04">
      <w:pPr>
        <w:jc w:val="center"/>
        <w:rPr>
          <w:rFonts w:hint="eastAsia" w:ascii="黑体" w:hAnsi="黑体" w:eastAsia="黑体"/>
          <w:sz w:val="32"/>
          <w:szCs w:val="32"/>
        </w:rPr>
      </w:pPr>
    </w:p>
    <w:p w14:paraId="6CC29CA1">
      <w:pPr>
        <w:jc w:val="center"/>
        <w:rPr>
          <w:rFonts w:hint="eastAsia" w:ascii="黑体" w:hAnsi="黑体" w:eastAsia="黑体"/>
          <w:sz w:val="32"/>
          <w:szCs w:val="32"/>
        </w:rPr>
      </w:pPr>
    </w:p>
    <w:p w14:paraId="6FD1930E">
      <w:pPr>
        <w:jc w:val="center"/>
        <w:rPr>
          <w:rFonts w:hint="eastAsia" w:ascii="黑体" w:hAnsi="黑体" w:eastAsia="黑体"/>
          <w:sz w:val="32"/>
          <w:szCs w:val="32"/>
        </w:rPr>
      </w:pPr>
    </w:p>
    <w:p w14:paraId="08C38348">
      <w:pPr>
        <w:jc w:val="center"/>
        <w:rPr>
          <w:rFonts w:hint="eastAsia" w:ascii="黑体" w:hAnsi="黑体" w:eastAsia="黑体"/>
          <w:sz w:val="32"/>
          <w:szCs w:val="32"/>
        </w:rPr>
      </w:pPr>
    </w:p>
    <w:p w14:paraId="653D2C6B">
      <w:pPr>
        <w:jc w:val="center"/>
        <w:rPr>
          <w:rFonts w:ascii="黑体" w:hAnsi="黑体" w:eastAsia="黑体"/>
          <w:sz w:val="32"/>
          <w:szCs w:val="32"/>
        </w:rPr>
      </w:pPr>
      <w:r>
        <w:rPr>
          <w:rFonts w:hint="eastAsia" w:ascii="黑体" w:hAnsi="黑体" w:eastAsia="黑体"/>
          <w:sz w:val="32"/>
          <w:szCs w:val="32"/>
        </w:rPr>
        <w:t>第二部分  情况说明</w:t>
      </w:r>
    </w:p>
    <w:p w14:paraId="1A612949">
      <w:pPr>
        <w:jc w:val="left"/>
        <w:rPr>
          <w:rFonts w:ascii="仿宋" w:hAnsi="仿宋" w:eastAsia="仿宋"/>
          <w:sz w:val="32"/>
          <w:szCs w:val="32"/>
        </w:rPr>
      </w:pPr>
      <w:r>
        <w:rPr>
          <w:rFonts w:hint="eastAsia" w:ascii="仿宋" w:hAnsi="仿宋" w:eastAsia="仿宋"/>
          <w:sz w:val="32"/>
          <w:szCs w:val="32"/>
        </w:rPr>
        <w:t xml:space="preserve"> </w:t>
      </w:r>
    </w:p>
    <w:p w14:paraId="14665F96">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一、202</w:t>
      </w:r>
      <w:r>
        <w:rPr>
          <w:rFonts w:hint="eastAsia" w:ascii="楷体" w:hAnsi="楷体" w:eastAsia="楷体"/>
          <w:sz w:val="32"/>
          <w:szCs w:val="32"/>
          <w:lang w:val="en-US" w:eastAsia="zh-CN"/>
        </w:rPr>
        <w:t>5</w:t>
      </w:r>
      <w:r>
        <w:rPr>
          <w:rFonts w:hint="eastAsia" w:ascii="楷体" w:hAnsi="楷体" w:eastAsia="楷体"/>
          <w:sz w:val="32"/>
          <w:szCs w:val="32"/>
        </w:rPr>
        <w:t>年收支预算总体情况</w:t>
      </w:r>
    </w:p>
    <w:p w14:paraId="790B2477">
      <w:pPr>
        <w:pStyle w:val="11"/>
        <w:ind w:firstLine="640" w:firstLineChars="200"/>
        <w:jc w:val="left"/>
        <w:rPr>
          <w:rFonts w:ascii="仿宋" w:hAnsi="仿宋" w:eastAsia="仿宋"/>
          <w:sz w:val="32"/>
          <w:szCs w:val="32"/>
        </w:rPr>
      </w:pPr>
      <w:r>
        <w:rPr>
          <w:rFonts w:hint="eastAsia" w:ascii="仿宋" w:hAnsi="仿宋" w:eastAsia="仿宋"/>
          <w:sz w:val="32"/>
          <w:szCs w:val="32"/>
        </w:rPr>
        <w:t>按照综合预算的原则，所有收入和支出全部纳入部门预算管理。收入包括：一般公共预算拨款收入、政府性基金预算拨款收入、其他收入等；支出包括：一般公共服务支出、社会保障和就业支出、卫生健康支出、住房保障支出等。202</w:t>
      </w:r>
      <w:r>
        <w:rPr>
          <w:rFonts w:hint="eastAsia" w:ascii="仿宋" w:hAnsi="仿宋" w:eastAsia="仿宋"/>
          <w:sz w:val="32"/>
          <w:szCs w:val="32"/>
          <w:lang w:val="en-US" w:eastAsia="zh-CN"/>
        </w:rPr>
        <w:t>5</w:t>
      </w:r>
      <w:r>
        <w:rPr>
          <w:rFonts w:hint="eastAsia" w:ascii="仿宋" w:hAnsi="仿宋" w:eastAsia="仿宋"/>
          <w:sz w:val="32"/>
          <w:szCs w:val="32"/>
        </w:rPr>
        <w:t>年收支总预算</w:t>
      </w:r>
      <w:r>
        <w:rPr>
          <w:rFonts w:hint="eastAsia" w:ascii="仿宋" w:hAnsi="仿宋" w:eastAsia="仿宋"/>
          <w:sz w:val="32"/>
          <w:szCs w:val="32"/>
          <w:lang w:val="en-US" w:eastAsia="zh-CN"/>
        </w:rPr>
        <w:t>84.09</w:t>
      </w:r>
      <w:r>
        <w:rPr>
          <w:rFonts w:hint="eastAsia" w:ascii="仿宋" w:hAnsi="仿宋" w:eastAsia="仿宋"/>
          <w:sz w:val="32"/>
          <w:szCs w:val="32"/>
        </w:rPr>
        <w:t>万元，比 202</w:t>
      </w:r>
      <w:r>
        <w:rPr>
          <w:rFonts w:hint="eastAsia" w:ascii="仿宋" w:hAnsi="仿宋" w:eastAsia="仿宋"/>
          <w:sz w:val="32"/>
          <w:szCs w:val="32"/>
          <w:lang w:val="en-US" w:eastAsia="zh-CN"/>
        </w:rPr>
        <w:t>4</w:t>
      </w:r>
      <w:r>
        <w:rPr>
          <w:rFonts w:hint="eastAsia" w:ascii="仿宋" w:hAnsi="仿宋" w:eastAsia="仿宋"/>
          <w:sz w:val="32"/>
          <w:szCs w:val="32"/>
        </w:rPr>
        <w:t>年预算数</w:t>
      </w:r>
      <w:r>
        <w:rPr>
          <w:rFonts w:hint="eastAsia" w:ascii="仿宋" w:hAnsi="仿宋" w:eastAsia="仿宋"/>
          <w:sz w:val="32"/>
          <w:szCs w:val="32"/>
          <w:lang w:val="en-US" w:eastAsia="zh-CN"/>
        </w:rPr>
        <w:t>78.87</w:t>
      </w:r>
      <w:r>
        <w:rPr>
          <w:rFonts w:hint="eastAsia" w:ascii="仿宋" w:hAnsi="仿宋" w:eastAsia="仿宋"/>
          <w:sz w:val="32"/>
          <w:szCs w:val="32"/>
        </w:rPr>
        <w:t>万元</w:t>
      </w:r>
      <w:r>
        <w:rPr>
          <w:rFonts w:hint="eastAsia" w:ascii="仿宋" w:hAnsi="仿宋" w:eastAsia="仿宋"/>
          <w:sz w:val="32"/>
          <w:szCs w:val="32"/>
          <w:lang w:eastAsia="zh-CN"/>
        </w:rPr>
        <w:t>增加</w:t>
      </w:r>
      <w:r>
        <w:rPr>
          <w:rFonts w:hint="eastAsia" w:ascii="仿宋" w:hAnsi="仿宋" w:eastAsia="仿宋"/>
          <w:sz w:val="32"/>
          <w:szCs w:val="32"/>
          <w:lang w:val="en-US" w:eastAsia="zh-CN"/>
        </w:rPr>
        <w:t>5.22</w:t>
      </w:r>
      <w:r>
        <w:rPr>
          <w:rFonts w:hint="eastAsia" w:ascii="仿宋" w:hAnsi="仿宋" w:eastAsia="仿宋"/>
          <w:sz w:val="32"/>
          <w:szCs w:val="32"/>
        </w:rPr>
        <w:t>万元，主要原因：</w:t>
      </w:r>
      <w:r>
        <w:rPr>
          <w:rFonts w:hint="eastAsia" w:ascii="仿宋" w:hAnsi="仿宋" w:eastAsia="仿宋"/>
          <w:sz w:val="32"/>
          <w:szCs w:val="32"/>
          <w:lang w:eastAsia="zh-CN"/>
        </w:rPr>
        <w:t>人员工资和各类保费上涨</w:t>
      </w:r>
      <w:r>
        <w:rPr>
          <w:rFonts w:hint="eastAsia" w:ascii="仿宋" w:hAnsi="仿宋" w:eastAsia="仿宋"/>
          <w:sz w:val="32"/>
          <w:szCs w:val="32"/>
        </w:rPr>
        <w:t>。</w:t>
      </w:r>
    </w:p>
    <w:p w14:paraId="0594D500">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二、202</w:t>
      </w:r>
      <w:r>
        <w:rPr>
          <w:rFonts w:hint="eastAsia" w:ascii="楷体" w:hAnsi="楷体" w:eastAsia="楷体"/>
          <w:sz w:val="32"/>
          <w:szCs w:val="32"/>
          <w:lang w:val="en-US" w:eastAsia="zh-CN"/>
        </w:rPr>
        <w:t>5</w:t>
      </w:r>
      <w:r>
        <w:rPr>
          <w:rFonts w:hint="eastAsia" w:ascii="楷体" w:hAnsi="楷体" w:eastAsia="楷体"/>
          <w:sz w:val="32"/>
          <w:szCs w:val="32"/>
        </w:rPr>
        <w:t>年收入预算情况</w:t>
      </w:r>
    </w:p>
    <w:p w14:paraId="5BB9355F">
      <w:pPr>
        <w:pStyle w:val="11"/>
        <w:ind w:left="319" w:leftChars="152" w:firstLine="320" w:firstLineChars="1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年本单位收入预算</w:t>
      </w:r>
      <w:r>
        <w:rPr>
          <w:rFonts w:hint="eastAsia" w:ascii="仿宋" w:hAnsi="仿宋" w:eastAsia="仿宋"/>
          <w:sz w:val="32"/>
          <w:szCs w:val="32"/>
          <w:lang w:val="en-US" w:eastAsia="zh-CN"/>
        </w:rPr>
        <w:t>84.09</w:t>
      </w:r>
      <w:r>
        <w:rPr>
          <w:rFonts w:hint="eastAsia" w:ascii="仿宋" w:hAnsi="仿宋" w:eastAsia="仿宋"/>
          <w:sz w:val="32"/>
          <w:szCs w:val="32"/>
        </w:rPr>
        <w:t>万元，其中：一般公共预算收入</w:t>
      </w:r>
      <w:r>
        <w:rPr>
          <w:rFonts w:hint="eastAsia" w:ascii="仿宋" w:hAnsi="仿宋" w:eastAsia="仿宋"/>
          <w:sz w:val="32"/>
          <w:szCs w:val="32"/>
          <w:lang w:val="en-US" w:eastAsia="zh-CN"/>
        </w:rPr>
        <w:t>84.09</w:t>
      </w:r>
      <w:r>
        <w:rPr>
          <w:rFonts w:hint="eastAsia" w:ascii="仿宋" w:hAnsi="仿宋" w:eastAsia="仿宋"/>
          <w:sz w:val="32"/>
          <w:szCs w:val="32"/>
        </w:rPr>
        <w:t>万元，占</w:t>
      </w:r>
      <w:r>
        <w:rPr>
          <w:rFonts w:hint="eastAsia" w:ascii="仿宋" w:hAnsi="仿宋" w:eastAsia="仿宋"/>
          <w:sz w:val="32"/>
          <w:szCs w:val="32"/>
          <w:lang w:val="en-US" w:eastAsia="zh-CN"/>
        </w:rPr>
        <w:t>100</w:t>
      </w:r>
      <w:r>
        <w:rPr>
          <w:rFonts w:hint="eastAsia" w:ascii="仿宋" w:hAnsi="仿宋" w:eastAsia="仿宋"/>
          <w:sz w:val="32"/>
          <w:szCs w:val="32"/>
        </w:rPr>
        <w:t>%。</w:t>
      </w:r>
    </w:p>
    <w:p w14:paraId="262A2F8F">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 xml:space="preserve"> 三、202</w:t>
      </w:r>
      <w:r>
        <w:rPr>
          <w:rFonts w:hint="eastAsia" w:ascii="楷体" w:hAnsi="楷体" w:eastAsia="楷体"/>
          <w:sz w:val="32"/>
          <w:szCs w:val="32"/>
          <w:lang w:val="en-US" w:eastAsia="zh-CN"/>
        </w:rPr>
        <w:t>5</w:t>
      </w:r>
      <w:r>
        <w:rPr>
          <w:rFonts w:hint="eastAsia" w:ascii="楷体" w:hAnsi="楷体" w:eastAsia="楷体"/>
          <w:sz w:val="32"/>
          <w:szCs w:val="32"/>
        </w:rPr>
        <w:t>年支出预算情况</w:t>
      </w:r>
    </w:p>
    <w:p w14:paraId="25859D74">
      <w:pPr>
        <w:pStyle w:val="11"/>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年支出预算</w:t>
      </w:r>
      <w:r>
        <w:rPr>
          <w:rFonts w:hint="eastAsia" w:ascii="仿宋" w:hAnsi="仿宋" w:eastAsia="仿宋"/>
          <w:sz w:val="32"/>
          <w:szCs w:val="32"/>
          <w:lang w:val="en-US" w:eastAsia="zh-CN"/>
        </w:rPr>
        <w:t>84.09</w:t>
      </w:r>
      <w:r>
        <w:rPr>
          <w:rFonts w:hint="eastAsia" w:ascii="仿宋" w:hAnsi="仿宋" w:eastAsia="仿宋"/>
          <w:sz w:val="32"/>
          <w:szCs w:val="32"/>
        </w:rPr>
        <w:t>万元，其中：基本支出</w:t>
      </w:r>
      <w:r>
        <w:rPr>
          <w:rFonts w:hint="eastAsia" w:ascii="仿宋" w:hAnsi="仿宋" w:eastAsia="仿宋"/>
          <w:sz w:val="32"/>
          <w:szCs w:val="32"/>
          <w:lang w:val="en-US" w:eastAsia="zh-CN"/>
        </w:rPr>
        <w:t>79.53</w:t>
      </w:r>
      <w:r>
        <w:rPr>
          <w:rFonts w:hint="eastAsia" w:ascii="仿宋" w:hAnsi="仿宋" w:eastAsia="仿宋"/>
          <w:sz w:val="32"/>
          <w:szCs w:val="32"/>
        </w:rPr>
        <w:t>万元，占</w:t>
      </w:r>
      <w:r>
        <w:rPr>
          <w:rFonts w:hint="eastAsia" w:ascii="仿宋" w:hAnsi="仿宋" w:eastAsia="仿宋"/>
          <w:sz w:val="32"/>
          <w:szCs w:val="32"/>
          <w:lang w:val="en-US" w:eastAsia="zh-CN"/>
        </w:rPr>
        <w:t>94.58</w:t>
      </w:r>
      <w:r>
        <w:rPr>
          <w:rFonts w:hint="eastAsia" w:ascii="仿宋" w:hAnsi="仿宋" w:eastAsia="仿宋"/>
          <w:sz w:val="32"/>
          <w:szCs w:val="32"/>
        </w:rPr>
        <w:t>%；项目支出</w:t>
      </w:r>
      <w:r>
        <w:rPr>
          <w:rFonts w:hint="eastAsia" w:ascii="仿宋" w:hAnsi="仿宋" w:eastAsia="仿宋"/>
          <w:sz w:val="32"/>
          <w:szCs w:val="32"/>
          <w:lang w:val="en-US" w:eastAsia="zh-CN"/>
        </w:rPr>
        <w:t>4.56</w:t>
      </w:r>
      <w:r>
        <w:rPr>
          <w:rFonts w:hint="eastAsia" w:ascii="仿宋" w:hAnsi="仿宋" w:eastAsia="仿宋"/>
          <w:sz w:val="32"/>
          <w:szCs w:val="32"/>
        </w:rPr>
        <w:t>万元，占</w:t>
      </w:r>
      <w:r>
        <w:rPr>
          <w:rFonts w:hint="eastAsia" w:ascii="仿宋" w:hAnsi="仿宋" w:eastAsia="仿宋"/>
          <w:sz w:val="32"/>
          <w:szCs w:val="32"/>
          <w:lang w:val="en-US" w:eastAsia="zh-CN"/>
        </w:rPr>
        <w:t>5.42</w:t>
      </w:r>
      <w:r>
        <w:rPr>
          <w:rFonts w:hint="eastAsia" w:ascii="仿宋" w:hAnsi="仿宋" w:eastAsia="仿宋"/>
          <w:sz w:val="32"/>
          <w:szCs w:val="32"/>
        </w:rPr>
        <w:t>%。</w:t>
      </w:r>
    </w:p>
    <w:p w14:paraId="51040F2B">
      <w:pPr>
        <w:pStyle w:val="11"/>
        <w:ind w:firstLine="640" w:firstLineChars="200"/>
        <w:jc w:val="left"/>
        <w:rPr>
          <w:rFonts w:ascii="楷体" w:hAnsi="楷体" w:eastAsia="楷体"/>
          <w:sz w:val="32"/>
          <w:szCs w:val="32"/>
        </w:rPr>
      </w:pPr>
      <w:r>
        <w:rPr>
          <w:rFonts w:hint="eastAsia" w:ascii="楷体" w:hAnsi="楷体" w:eastAsia="楷体"/>
          <w:sz w:val="32"/>
          <w:szCs w:val="32"/>
        </w:rPr>
        <w:t>四、202</w:t>
      </w:r>
      <w:r>
        <w:rPr>
          <w:rFonts w:hint="eastAsia" w:ascii="楷体" w:hAnsi="楷体" w:eastAsia="楷体"/>
          <w:sz w:val="32"/>
          <w:szCs w:val="32"/>
          <w:lang w:val="en-US" w:eastAsia="zh-CN"/>
        </w:rPr>
        <w:t>5</w:t>
      </w:r>
      <w:r>
        <w:rPr>
          <w:rFonts w:hint="eastAsia" w:ascii="楷体" w:hAnsi="楷体" w:eastAsia="楷体"/>
          <w:sz w:val="32"/>
          <w:szCs w:val="32"/>
        </w:rPr>
        <w:t>年财政拨款收支预算情况</w:t>
      </w:r>
    </w:p>
    <w:p w14:paraId="032F5B2D">
      <w:pPr>
        <w:pStyle w:val="11"/>
        <w:ind w:firstLine="640" w:firstLineChars="200"/>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年财政拨款收支总预算</w:t>
      </w:r>
      <w:r>
        <w:rPr>
          <w:rFonts w:hint="eastAsia" w:ascii="仿宋" w:hAnsi="仿宋" w:eastAsia="仿宋"/>
          <w:sz w:val="32"/>
          <w:szCs w:val="32"/>
          <w:lang w:val="en-US" w:eastAsia="zh-CN"/>
        </w:rPr>
        <w:t>84.09</w:t>
      </w:r>
      <w:r>
        <w:rPr>
          <w:rFonts w:hint="eastAsia" w:ascii="仿宋" w:hAnsi="仿宋" w:eastAsia="仿宋"/>
          <w:sz w:val="32"/>
          <w:szCs w:val="32"/>
        </w:rPr>
        <w:t>万元，其中：本年收入</w:t>
      </w:r>
      <w:r>
        <w:rPr>
          <w:rFonts w:hint="eastAsia" w:ascii="仿宋" w:hAnsi="仿宋" w:eastAsia="仿宋"/>
          <w:sz w:val="32"/>
          <w:szCs w:val="32"/>
          <w:lang w:val="en-US" w:eastAsia="zh-CN"/>
        </w:rPr>
        <w:t>84.09</w:t>
      </w:r>
      <w:r>
        <w:rPr>
          <w:rFonts w:hint="eastAsia" w:ascii="仿宋" w:hAnsi="仿宋" w:eastAsia="仿宋"/>
          <w:sz w:val="32"/>
          <w:szCs w:val="32"/>
        </w:rPr>
        <w:t>万元。本年支出</w:t>
      </w:r>
      <w:r>
        <w:rPr>
          <w:rFonts w:hint="eastAsia" w:ascii="仿宋" w:hAnsi="仿宋" w:eastAsia="仿宋"/>
          <w:sz w:val="32"/>
          <w:szCs w:val="32"/>
          <w:lang w:val="en-US" w:eastAsia="zh-CN"/>
        </w:rPr>
        <w:t>84.09</w:t>
      </w:r>
      <w:r>
        <w:rPr>
          <w:rFonts w:hint="eastAsia" w:ascii="仿宋" w:hAnsi="仿宋" w:eastAsia="仿宋"/>
          <w:sz w:val="32"/>
          <w:szCs w:val="32"/>
        </w:rPr>
        <w:t>万元，支出包括：社会保障和就业支出</w:t>
      </w:r>
      <w:r>
        <w:rPr>
          <w:rFonts w:hint="eastAsia" w:ascii="仿宋" w:hAnsi="仿宋" w:eastAsia="仿宋"/>
          <w:sz w:val="32"/>
          <w:szCs w:val="32"/>
          <w:lang w:val="en-US" w:eastAsia="zh-CN"/>
        </w:rPr>
        <w:t>7.60</w:t>
      </w:r>
      <w:r>
        <w:rPr>
          <w:rFonts w:hint="eastAsia" w:ascii="仿宋" w:hAnsi="仿宋" w:eastAsia="仿宋"/>
          <w:sz w:val="32"/>
          <w:szCs w:val="32"/>
        </w:rPr>
        <w:t>万元，卫生健康支出</w:t>
      </w:r>
      <w:r>
        <w:rPr>
          <w:rFonts w:hint="eastAsia" w:ascii="仿宋" w:hAnsi="仿宋" w:eastAsia="仿宋"/>
          <w:sz w:val="32"/>
          <w:szCs w:val="32"/>
          <w:lang w:val="en-US" w:eastAsia="zh-CN"/>
        </w:rPr>
        <w:t>70.41</w:t>
      </w:r>
      <w:r>
        <w:rPr>
          <w:rFonts w:hint="eastAsia" w:ascii="仿宋" w:hAnsi="仿宋" w:eastAsia="仿宋"/>
          <w:sz w:val="32"/>
          <w:szCs w:val="32"/>
        </w:rPr>
        <w:t>万元，住房保障支出</w:t>
      </w:r>
      <w:r>
        <w:rPr>
          <w:rFonts w:hint="eastAsia" w:ascii="仿宋" w:hAnsi="仿宋" w:eastAsia="仿宋"/>
          <w:sz w:val="32"/>
          <w:szCs w:val="32"/>
          <w:lang w:val="en-US" w:eastAsia="zh-CN"/>
        </w:rPr>
        <w:t>6.08</w:t>
      </w:r>
      <w:r>
        <w:rPr>
          <w:rFonts w:hint="eastAsia" w:ascii="仿宋" w:hAnsi="仿宋" w:eastAsia="仿宋"/>
          <w:sz w:val="32"/>
          <w:szCs w:val="32"/>
        </w:rPr>
        <w:t>万元</w:t>
      </w:r>
      <w:r>
        <w:rPr>
          <w:rFonts w:hint="eastAsia" w:ascii="仿宋" w:hAnsi="仿宋" w:eastAsia="仿宋"/>
          <w:sz w:val="32"/>
          <w:szCs w:val="32"/>
          <w:lang w:eastAsia="zh-CN"/>
        </w:rPr>
        <w:t>。</w:t>
      </w:r>
    </w:p>
    <w:p w14:paraId="113EA7E6">
      <w:pPr>
        <w:pStyle w:val="11"/>
        <w:rPr>
          <w:rFonts w:ascii="楷体" w:hAnsi="楷体" w:eastAsia="楷体"/>
          <w:sz w:val="32"/>
          <w:szCs w:val="32"/>
        </w:rPr>
      </w:pPr>
      <w:r>
        <w:rPr>
          <w:rFonts w:hint="eastAsia" w:ascii="仿宋" w:hAnsi="仿宋" w:eastAsia="仿宋"/>
          <w:kern w:val="0"/>
          <w:sz w:val="32"/>
          <w:szCs w:val="32"/>
        </w:rPr>
        <w:t xml:space="preserve">    </w:t>
      </w:r>
      <w:r>
        <w:rPr>
          <w:rFonts w:hint="eastAsia" w:ascii="楷体" w:hAnsi="楷体" w:eastAsia="楷体" w:cs="楷体"/>
          <w:kern w:val="0"/>
          <w:sz w:val="32"/>
          <w:szCs w:val="32"/>
        </w:rPr>
        <w:t>五、202</w:t>
      </w:r>
      <w:r>
        <w:rPr>
          <w:rFonts w:hint="eastAsia" w:ascii="楷体" w:hAnsi="楷体" w:eastAsia="楷体" w:cs="楷体"/>
          <w:kern w:val="0"/>
          <w:sz w:val="32"/>
          <w:szCs w:val="32"/>
          <w:lang w:val="en-US" w:eastAsia="zh-CN"/>
        </w:rPr>
        <w:t>5</w:t>
      </w:r>
      <w:r>
        <w:rPr>
          <w:rFonts w:hint="eastAsia" w:ascii="楷体" w:hAnsi="楷体" w:eastAsia="楷体"/>
          <w:kern w:val="0"/>
          <w:sz w:val="32"/>
          <w:szCs w:val="32"/>
        </w:rPr>
        <w:t>年一般公共预算支出情况</w:t>
      </w:r>
    </w:p>
    <w:p w14:paraId="362C178E">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年一般公共预算当年拨款</w:t>
      </w:r>
      <w:r>
        <w:rPr>
          <w:rFonts w:hint="eastAsia" w:ascii="仿宋" w:hAnsi="仿宋" w:eastAsia="仿宋"/>
          <w:sz w:val="32"/>
          <w:szCs w:val="32"/>
          <w:lang w:val="en-US" w:eastAsia="zh-CN"/>
        </w:rPr>
        <w:t>84.09</w:t>
      </w:r>
      <w:r>
        <w:rPr>
          <w:rFonts w:hint="eastAsia" w:ascii="仿宋" w:hAnsi="仿宋" w:eastAsia="仿宋"/>
          <w:sz w:val="32"/>
          <w:szCs w:val="32"/>
        </w:rPr>
        <w:t>万元，其中：基本支出</w:t>
      </w:r>
      <w:r>
        <w:rPr>
          <w:rFonts w:hint="eastAsia" w:ascii="仿宋" w:hAnsi="仿宋" w:eastAsia="仿宋"/>
          <w:sz w:val="32"/>
          <w:szCs w:val="32"/>
          <w:lang w:val="en-US" w:eastAsia="zh-CN"/>
        </w:rPr>
        <w:t>79.53</w:t>
      </w:r>
      <w:r>
        <w:rPr>
          <w:rFonts w:hint="eastAsia" w:ascii="仿宋" w:hAnsi="仿宋" w:eastAsia="仿宋"/>
          <w:sz w:val="32"/>
          <w:szCs w:val="32"/>
        </w:rPr>
        <w:t>万元，占</w:t>
      </w:r>
      <w:r>
        <w:rPr>
          <w:rFonts w:hint="eastAsia" w:ascii="仿宋" w:hAnsi="仿宋" w:eastAsia="仿宋"/>
          <w:sz w:val="32"/>
          <w:szCs w:val="32"/>
          <w:lang w:val="en-US" w:eastAsia="zh-CN"/>
        </w:rPr>
        <w:t>94.58</w:t>
      </w:r>
      <w:r>
        <w:rPr>
          <w:rFonts w:hint="eastAsia" w:ascii="仿宋" w:hAnsi="仿宋" w:eastAsia="仿宋"/>
          <w:sz w:val="32"/>
          <w:szCs w:val="32"/>
        </w:rPr>
        <w:t>%；项目支出</w:t>
      </w:r>
      <w:r>
        <w:rPr>
          <w:rFonts w:hint="eastAsia" w:ascii="仿宋" w:hAnsi="仿宋" w:eastAsia="仿宋"/>
          <w:sz w:val="32"/>
          <w:szCs w:val="32"/>
          <w:lang w:val="en-US" w:eastAsia="zh-CN"/>
        </w:rPr>
        <w:t>4.56</w:t>
      </w:r>
      <w:r>
        <w:rPr>
          <w:rFonts w:hint="eastAsia" w:ascii="仿宋" w:hAnsi="仿宋" w:eastAsia="仿宋"/>
          <w:sz w:val="32"/>
          <w:szCs w:val="32"/>
        </w:rPr>
        <w:t>万元，占</w:t>
      </w:r>
      <w:r>
        <w:rPr>
          <w:rFonts w:hint="eastAsia" w:ascii="仿宋" w:hAnsi="仿宋" w:eastAsia="仿宋"/>
          <w:sz w:val="32"/>
          <w:szCs w:val="32"/>
          <w:lang w:val="en-US" w:eastAsia="zh-CN"/>
        </w:rPr>
        <w:t>5.42</w:t>
      </w:r>
      <w:r>
        <w:rPr>
          <w:rFonts w:hint="eastAsia" w:ascii="仿宋" w:hAnsi="仿宋" w:eastAsia="仿宋"/>
          <w:sz w:val="32"/>
          <w:szCs w:val="32"/>
        </w:rPr>
        <w:t>%。基本支出中，人员经费</w:t>
      </w:r>
      <w:r>
        <w:rPr>
          <w:rFonts w:hint="eastAsia" w:ascii="仿宋" w:hAnsi="仿宋" w:eastAsia="仿宋"/>
          <w:sz w:val="32"/>
          <w:szCs w:val="32"/>
          <w:lang w:val="en-US" w:eastAsia="zh-CN"/>
        </w:rPr>
        <w:t>66.13</w:t>
      </w:r>
      <w:r>
        <w:rPr>
          <w:rFonts w:hint="eastAsia" w:ascii="仿宋" w:hAnsi="仿宋" w:eastAsia="仿宋"/>
          <w:sz w:val="32"/>
          <w:szCs w:val="32"/>
        </w:rPr>
        <w:t>万元，占</w:t>
      </w:r>
      <w:r>
        <w:rPr>
          <w:rFonts w:hint="eastAsia" w:ascii="仿宋" w:hAnsi="仿宋" w:eastAsia="仿宋"/>
          <w:sz w:val="32"/>
          <w:szCs w:val="32"/>
          <w:lang w:val="en-US" w:eastAsia="zh-CN"/>
        </w:rPr>
        <w:t>83.15</w:t>
      </w:r>
      <w:r>
        <w:rPr>
          <w:rFonts w:hint="eastAsia" w:ascii="仿宋" w:hAnsi="仿宋" w:eastAsia="仿宋"/>
          <w:sz w:val="32"/>
          <w:szCs w:val="32"/>
        </w:rPr>
        <w:t>%；公用经费</w:t>
      </w:r>
      <w:r>
        <w:rPr>
          <w:rFonts w:hint="eastAsia" w:ascii="仿宋" w:hAnsi="仿宋" w:eastAsia="仿宋"/>
          <w:sz w:val="32"/>
          <w:szCs w:val="32"/>
          <w:lang w:val="en-US" w:eastAsia="zh-CN"/>
        </w:rPr>
        <w:t>13.40</w:t>
      </w:r>
      <w:r>
        <w:rPr>
          <w:rFonts w:hint="eastAsia" w:ascii="仿宋" w:hAnsi="仿宋" w:eastAsia="仿宋"/>
          <w:sz w:val="32"/>
          <w:szCs w:val="32"/>
        </w:rPr>
        <w:t>万元，占</w:t>
      </w:r>
      <w:r>
        <w:rPr>
          <w:rFonts w:hint="eastAsia" w:ascii="仿宋" w:hAnsi="仿宋" w:eastAsia="仿宋"/>
          <w:sz w:val="32"/>
          <w:szCs w:val="32"/>
          <w:lang w:val="en-US" w:eastAsia="zh-CN"/>
        </w:rPr>
        <w:t>16.85</w:t>
      </w:r>
      <w:r>
        <w:rPr>
          <w:rFonts w:hint="eastAsia" w:ascii="仿宋" w:hAnsi="仿宋" w:eastAsia="仿宋"/>
          <w:sz w:val="32"/>
          <w:szCs w:val="32"/>
        </w:rPr>
        <w:t>%。</w:t>
      </w:r>
    </w:p>
    <w:p w14:paraId="59F47C99">
      <w:pPr>
        <w:ind w:firstLine="640" w:firstLineChars="200"/>
        <w:rPr>
          <w:rFonts w:ascii="仿宋" w:hAnsi="仿宋" w:eastAsia="仿宋"/>
          <w:sz w:val="32"/>
          <w:szCs w:val="32"/>
        </w:rPr>
      </w:pPr>
      <w:r>
        <w:rPr>
          <w:rFonts w:hint="eastAsia" w:ascii="仿宋" w:hAnsi="仿宋" w:eastAsia="仿宋"/>
          <w:sz w:val="32"/>
          <w:szCs w:val="32"/>
        </w:rPr>
        <w:t>社会保障和就业（类）支出</w:t>
      </w:r>
      <w:r>
        <w:rPr>
          <w:rFonts w:hint="eastAsia" w:ascii="仿宋" w:hAnsi="仿宋" w:eastAsia="仿宋"/>
          <w:sz w:val="32"/>
          <w:szCs w:val="32"/>
          <w:lang w:val="en-US" w:eastAsia="zh-CN"/>
        </w:rPr>
        <w:t>7.60</w:t>
      </w:r>
      <w:r>
        <w:rPr>
          <w:rFonts w:hint="eastAsia" w:ascii="仿宋" w:hAnsi="仿宋" w:eastAsia="仿宋"/>
          <w:sz w:val="32"/>
          <w:szCs w:val="32"/>
        </w:rPr>
        <w:t>万元，占</w:t>
      </w:r>
      <w:r>
        <w:rPr>
          <w:rFonts w:hint="eastAsia" w:ascii="仿宋" w:hAnsi="仿宋" w:eastAsia="仿宋"/>
          <w:sz w:val="32"/>
          <w:szCs w:val="32"/>
          <w:lang w:val="en-US" w:eastAsia="zh-CN"/>
        </w:rPr>
        <w:t>9.04</w:t>
      </w:r>
      <w:r>
        <w:rPr>
          <w:rFonts w:hint="eastAsia" w:ascii="仿宋" w:hAnsi="仿宋" w:eastAsia="仿宋"/>
          <w:sz w:val="32"/>
          <w:szCs w:val="32"/>
        </w:rPr>
        <w:t>%，主要用于：支付养老保险。</w:t>
      </w:r>
    </w:p>
    <w:p w14:paraId="68252479">
      <w:pPr>
        <w:ind w:firstLine="640" w:firstLineChars="200"/>
        <w:rPr>
          <w:rFonts w:hint="eastAsia" w:ascii="仿宋" w:hAnsi="仿宋" w:eastAsia="仿宋"/>
          <w:sz w:val="32"/>
          <w:szCs w:val="32"/>
        </w:rPr>
      </w:pPr>
      <w:r>
        <w:rPr>
          <w:rFonts w:hint="eastAsia" w:ascii="仿宋" w:hAnsi="仿宋" w:eastAsia="仿宋"/>
          <w:sz w:val="32"/>
          <w:szCs w:val="32"/>
        </w:rPr>
        <w:t>卫生健康（类）支出</w:t>
      </w:r>
      <w:r>
        <w:rPr>
          <w:rFonts w:hint="eastAsia" w:ascii="仿宋" w:hAnsi="仿宋" w:eastAsia="仿宋"/>
          <w:sz w:val="32"/>
          <w:szCs w:val="32"/>
          <w:lang w:val="en-US" w:eastAsia="zh-CN"/>
        </w:rPr>
        <w:t>70.41</w:t>
      </w:r>
      <w:r>
        <w:rPr>
          <w:rFonts w:hint="eastAsia" w:ascii="仿宋" w:hAnsi="仿宋" w:eastAsia="仿宋"/>
          <w:sz w:val="32"/>
          <w:szCs w:val="32"/>
        </w:rPr>
        <w:t>万元，占</w:t>
      </w:r>
      <w:r>
        <w:rPr>
          <w:rFonts w:hint="eastAsia" w:ascii="仿宋" w:hAnsi="仿宋" w:eastAsia="仿宋"/>
          <w:sz w:val="32"/>
          <w:szCs w:val="32"/>
          <w:lang w:val="en-US" w:eastAsia="zh-CN"/>
        </w:rPr>
        <w:t>83.73</w:t>
      </w:r>
      <w:r>
        <w:rPr>
          <w:rFonts w:hint="eastAsia" w:ascii="仿宋" w:hAnsi="仿宋" w:eastAsia="仿宋"/>
          <w:sz w:val="32"/>
          <w:szCs w:val="32"/>
        </w:rPr>
        <w:t>%，主要用于：发放工资和日常办公经费支出。</w:t>
      </w:r>
    </w:p>
    <w:p w14:paraId="55FEE9D0">
      <w:pPr>
        <w:ind w:firstLine="640" w:firstLineChars="200"/>
        <w:rPr>
          <w:rFonts w:ascii="仿宋" w:hAnsi="仿宋" w:eastAsia="仿宋"/>
          <w:sz w:val="32"/>
          <w:szCs w:val="32"/>
        </w:rPr>
      </w:pPr>
      <w:r>
        <w:rPr>
          <w:rFonts w:hint="eastAsia" w:ascii="仿宋" w:hAnsi="仿宋" w:eastAsia="仿宋"/>
          <w:sz w:val="32"/>
          <w:szCs w:val="32"/>
        </w:rPr>
        <w:t>住房保障（类）支出</w:t>
      </w:r>
      <w:r>
        <w:rPr>
          <w:rFonts w:hint="eastAsia" w:ascii="仿宋" w:hAnsi="仿宋" w:eastAsia="仿宋"/>
          <w:sz w:val="32"/>
          <w:szCs w:val="32"/>
          <w:lang w:val="en-US" w:eastAsia="zh-CN"/>
        </w:rPr>
        <w:t>6.08</w:t>
      </w:r>
      <w:r>
        <w:rPr>
          <w:rFonts w:hint="eastAsia" w:ascii="仿宋" w:hAnsi="仿宋" w:eastAsia="仿宋"/>
          <w:sz w:val="32"/>
          <w:szCs w:val="32"/>
        </w:rPr>
        <w:t>万元，占</w:t>
      </w:r>
      <w:r>
        <w:rPr>
          <w:rFonts w:hint="eastAsia" w:ascii="仿宋" w:hAnsi="仿宋" w:eastAsia="仿宋"/>
          <w:sz w:val="32"/>
          <w:szCs w:val="32"/>
          <w:lang w:val="en-US" w:eastAsia="zh-CN"/>
        </w:rPr>
        <w:t>7.23</w:t>
      </w:r>
      <w:r>
        <w:rPr>
          <w:rFonts w:hint="eastAsia" w:ascii="仿宋" w:hAnsi="仿宋" w:eastAsia="仿宋"/>
          <w:sz w:val="32"/>
          <w:szCs w:val="32"/>
        </w:rPr>
        <w:t>%，主要用于：支付住房公积金。</w:t>
      </w:r>
    </w:p>
    <w:p w14:paraId="1D655B29">
      <w:pPr>
        <w:pStyle w:val="9"/>
        <w:rPr>
          <w:rFonts w:ascii="楷体" w:hAnsi="楷体" w:eastAsia="楷体"/>
          <w:kern w:val="0"/>
          <w:sz w:val="32"/>
          <w:szCs w:val="32"/>
        </w:rPr>
      </w:pPr>
      <w:r>
        <w:rPr>
          <w:rFonts w:hint="eastAsia" w:ascii="仿宋" w:hAnsi="仿宋" w:eastAsia="仿宋"/>
          <w:kern w:val="0"/>
          <w:sz w:val="32"/>
          <w:szCs w:val="32"/>
        </w:rPr>
        <w:t xml:space="preserve">   </w:t>
      </w:r>
      <w:r>
        <w:rPr>
          <w:rFonts w:hint="eastAsia" w:ascii="楷体" w:hAnsi="楷体" w:eastAsia="楷体"/>
          <w:kern w:val="0"/>
          <w:sz w:val="32"/>
          <w:szCs w:val="32"/>
        </w:rPr>
        <w:t>六、202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年一般公共预算基本支出情况</w:t>
      </w:r>
    </w:p>
    <w:p w14:paraId="28556014">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年一般公共预算基本支出</w:t>
      </w:r>
      <w:r>
        <w:rPr>
          <w:rFonts w:hint="eastAsia" w:ascii="仿宋" w:hAnsi="仿宋" w:eastAsia="仿宋"/>
          <w:sz w:val="32"/>
          <w:szCs w:val="32"/>
          <w:lang w:val="en-US" w:eastAsia="zh-CN"/>
        </w:rPr>
        <w:t>79.53</w:t>
      </w:r>
      <w:r>
        <w:rPr>
          <w:rFonts w:hint="eastAsia" w:ascii="仿宋" w:hAnsi="仿宋" w:eastAsia="仿宋"/>
          <w:sz w:val="32"/>
          <w:szCs w:val="32"/>
        </w:rPr>
        <w:t>万元，其中：</w:t>
      </w:r>
    </w:p>
    <w:p w14:paraId="03F48596">
      <w:pPr>
        <w:ind w:firstLine="640" w:firstLineChars="200"/>
        <w:rPr>
          <w:rFonts w:ascii="仿宋" w:hAnsi="仿宋" w:eastAsia="仿宋"/>
          <w:sz w:val="32"/>
          <w:szCs w:val="32"/>
        </w:rPr>
      </w:pPr>
      <w:r>
        <w:rPr>
          <w:rFonts w:hint="eastAsia" w:ascii="仿宋" w:hAnsi="仿宋" w:eastAsia="仿宋"/>
          <w:sz w:val="32"/>
          <w:szCs w:val="32"/>
        </w:rPr>
        <w:t>人员经费</w:t>
      </w:r>
      <w:r>
        <w:rPr>
          <w:rFonts w:hint="eastAsia" w:ascii="仿宋" w:hAnsi="仿宋" w:eastAsia="仿宋"/>
          <w:sz w:val="32"/>
          <w:szCs w:val="32"/>
          <w:lang w:val="en-US" w:eastAsia="zh-CN"/>
        </w:rPr>
        <w:t>66.13</w:t>
      </w:r>
      <w:r>
        <w:rPr>
          <w:rFonts w:hint="eastAsia" w:ascii="仿宋" w:hAnsi="仿宋" w:eastAsia="仿宋"/>
          <w:sz w:val="32"/>
          <w:szCs w:val="32"/>
        </w:rPr>
        <w:t>万元，主要包括：基本工资、津贴补贴、奖金、机关事业单位基本养老保险缴费、职工基本医疗保险缴费、其他社会保障缴费、住房公积金；</w:t>
      </w:r>
    </w:p>
    <w:p w14:paraId="2A6EB088">
      <w:pPr>
        <w:pStyle w:val="9"/>
        <w:ind w:firstLine="627" w:firstLineChars="196"/>
        <w:rPr>
          <w:rFonts w:ascii="仿宋" w:hAnsi="仿宋" w:eastAsia="仿宋"/>
          <w:kern w:val="0"/>
          <w:sz w:val="32"/>
          <w:szCs w:val="32"/>
        </w:rPr>
      </w:pPr>
      <w:r>
        <w:rPr>
          <w:rFonts w:hint="eastAsia" w:ascii="仿宋" w:hAnsi="仿宋" w:eastAsia="仿宋"/>
          <w:sz w:val="32"/>
          <w:szCs w:val="32"/>
        </w:rPr>
        <w:t>公用经费</w:t>
      </w:r>
      <w:r>
        <w:rPr>
          <w:rFonts w:hint="eastAsia" w:ascii="仿宋" w:hAnsi="仿宋" w:eastAsia="仿宋"/>
          <w:sz w:val="32"/>
          <w:szCs w:val="32"/>
          <w:lang w:val="en-US" w:eastAsia="zh-CN"/>
        </w:rPr>
        <w:t>13.40</w:t>
      </w:r>
      <w:r>
        <w:rPr>
          <w:rFonts w:hint="eastAsia" w:ascii="仿宋" w:hAnsi="仿宋" w:eastAsia="仿宋"/>
          <w:sz w:val="32"/>
          <w:szCs w:val="32"/>
        </w:rPr>
        <w:t>万元，主要包括：办公费、手续费、邮电费、差旅费、维修（护）费、</w:t>
      </w:r>
      <w:r>
        <w:rPr>
          <w:rFonts w:hint="eastAsia" w:ascii="仿宋" w:hAnsi="仿宋" w:eastAsia="仿宋"/>
          <w:sz w:val="32"/>
          <w:szCs w:val="32"/>
          <w:lang w:eastAsia="zh-CN"/>
        </w:rPr>
        <w:t>租赁费、</w:t>
      </w:r>
      <w:r>
        <w:rPr>
          <w:rFonts w:hint="eastAsia" w:ascii="仿宋" w:hAnsi="仿宋" w:eastAsia="仿宋"/>
          <w:sz w:val="32"/>
          <w:szCs w:val="32"/>
        </w:rPr>
        <w:t>公务接待费、工会经费、其他交通费用等。</w:t>
      </w:r>
    </w:p>
    <w:p w14:paraId="5080A63D">
      <w:pPr>
        <w:pStyle w:val="9"/>
        <w:ind w:firstLine="640" w:firstLineChars="200"/>
        <w:rPr>
          <w:rFonts w:ascii="楷体" w:hAnsi="楷体" w:eastAsia="楷体"/>
          <w:kern w:val="0"/>
          <w:sz w:val="32"/>
          <w:szCs w:val="32"/>
        </w:rPr>
      </w:pPr>
      <w:r>
        <w:rPr>
          <w:rFonts w:hint="eastAsia" w:ascii="楷体" w:hAnsi="楷体" w:eastAsia="楷体"/>
          <w:kern w:val="0"/>
          <w:sz w:val="32"/>
          <w:szCs w:val="32"/>
        </w:rPr>
        <w:t>七、202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年一般公共预算财政拨款“三公经费”情况</w:t>
      </w:r>
    </w:p>
    <w:p w14:paraId="2ABE82ED">
      <w:pPr>
        <w:pStyle w:val="9"/>
        <w:ind w:firstLine="627" w:firstLineChars="196"/>
        <w:rPr>
          <w:rFonts w:ascii="仿宋" w:hAnsi="仿宋" w:eastAsia="仿宋"/>
          <w:kern w:val="0"/>
          <w:sz w:val="32"/>
          <w:szCs w:val="32"/>
        </w:rPr>
      </w:pPr>
      <w:r>
        <w:rPr>
          <w:rFonts w:hint="eastAsia" w:ascii="仿宋" w:hAnsi="仿宋" w:eastAsia="仿宋"/>
          <w:kern w:val="0"/>
          <w:sz w:val="32"/>
          <w:szCs w:val="32"/>
        </w:rPr>
        <w:t>202</w:t>
      </w:r>
      <w:r>
        <w:rPr>
          <w:rFonts w:hint="eastAsia" w:ascii="仿宋" w:hAnsi="仿宋" w:eastAsia="仿宋"/>
          <w:kern w:val="0"/>
          <w:sz w:val="32"/>
          <w:szCs w:val="32"/>
          <w:lang w:val="en-US" w:eastAsia="zh-CN"/>
        </w:rPr>
        <w:t>5</w:t>
      </w:r>
      <w:r>
        <w:rPr>
          <w:rFonts w:hint="eastAsia" w:ascii="仿宋" w:hAnsi="仿宋" w:eastAsia="仿宋"/>
          <w:kern w:val="0"/>
          <w:sz w:val="32"/>
          <w:szCs w:val="32"/>
        </w:rPr>
        <w:t>年“三公”经费预算数</w:t>
      </w:r>
      <w:r>
        <w:rPr>
          <w:rFonts w:hint="eastAsia" w:ascii="仿宋" w:hAnsi="仿宋" w:eastAsia="仿宋"/>
          <w:kern w:val="0"/>
          <w:sz w:val="32"/>
          <w:szCs w:val="32"/>
          <w:lang w:val="en-US" w:eastAsia="zh-CN"/>
        </w:rPr>
        <w:t>0.59</w:t>
      </w:r>
      <w:r>
        <w:rPr>
          <w:rFonts w:hint="eastAsia" w:ascii="仿宋" w:hAnsi="仿宋" w:eastAsia="仿宋"/>
          <w:kern w:val="0"/>
          <w:sz w:val="32"/>
          <w:szCs w:val="32"/>
        </w:rPr>
        <w:t>万元，比202</w:t>
      </w:r>
      <w:r>
        <w:rPr>
          <w:rFonts w:hint="eastAsia" w:ascii="仿宋" w:hAnsi="仿宋" w:eastAsia="仿宋"/>
          <w:kern w:val="0"/>
          <w:sz w:val="32"/>
          <w:szCs w:val="32"/>
          <w:lang w:val="en-US" w:eastAsia="zh-CN"/>
        </w:rPr>
        <w:t>4</w:t>
      </w:r>
      <w:r>
        <w:rPr>
          <w:rFonts w:hint="eastAsia" w:ascii="仿宋" w:hAnsi="仿宋" w:eastAsia="仿宋"/>
          <w:kern w:val="0"/>
          <w:sz w:val="32"/>
          <w:szCs w:val="32"/>
        </w:rPr>
        <w:t>年预算减少</w:t>
      </w:r>
      <w:r>
        <w:rPr>
          <w:rFonts w:hint="eastAsia" w:ascii="仿宋" w:hAnsi="仿宋" w:eastAsia="仿宋"/>
          <w:kern w:val="0"/>
          <w:sz w:val="32"/>
          <w:szCs w:val="32"/>
          <w:lang w:val="en-US" w:eastAsia="zh-CN"/>
        </w:rPr>
        <w:t>0.07</w:t>
      </w:r>
      <w:r>
        <w:rPr>
          <w:rFonts w:hint="eastAsia" w:ascii="仿宋" w:hAnsi="仿宋" w:eastAsia="仿宋"/>
          <w:kern w:val="0"/>
          <w:sz w:val="32"/>
          <w:szCs w:val="32"/>
        </w:rPr>
        <w:t>万元。其中：</w:t>
      </w:r>
    </w:p>
    <w:p w14:paraId="529C34D3">
      <w:pPr>
        <w:pStyle w:val="9"/>
        <w:numPr>
          <w:ilvl w:val="0"/>
          <w:numId w:val="0"/>
        </w:numPr>
        <w:ind w:firstLine="627" w:firstLineChars="196"/>
        <w:rPr>
          <w:rFonts w:hint="eastAsia" w:ascii="仿宋" w:hAnsi="仿宋" w:eastAsia="仿宋"/>
          <w:kern w:val="0"/>
          <w:sz w:val="32"/>
          <w:szCs w:val="32"/>
        </w:rPr>
      </w:pPr>
      <w:r>
        <w:rPr>
          <w:rFonts w:hint="eastAsia" w:ascii="仿宋" w:hAnsi="仿宋" w:eastAsia="仿宋" w:cs="Times New Roman"/>
          <w:kern w:val="0"/>
          <w:sz w:val="32"/>
          <w:szCs w:val="32"/>
          <w:lang w:val="en-US" w:eastAsia="zh-CN" w:bidi="ar-SA"/>
        </w:rPr>
        <w:t>1.</w:t>
      </w:r>
      <w:r>
        <w:rPr>
          <w:rFonts w:hint="eastAsia" w:ascii="仿宋" w:hAnsi="仿宋" w:eastAsia="仿宋"/>
          <w:kern w:val="0"/>
          <w:sz w:val="32"/>
          <w:szCs w:val="32"/>
        </w:rPr>
        <w:t>公务接待费</w:t>
      </w:r>
      <w:r>
        <w:rPr>
          <w:rFonts w:hint="eastAsia" w:ascii="仿宋" w:hAnsi="仿宋" w:eastAsia="仿宋"/>
          <w:kern w:val="0"/>
          <w:sz w:val="32"/>
          <w:szCs w:val="32"/>
          <w:lang w:val="en-US" w:eastAsia="zh-CN"/>
        </w:rPr>
        <w:t>0.59</w:t>
      </w:r>
      <w:r>
        <w:rPr>
          <w:rFonts w:hint="eastAsia" w:ascii="仿宋" w:hAnsi="仿宋" w:eastAsia="仿宋"/>
          <w:kern w:val="0"/>
          <w:sz w:val="32"/>
          <w:szCs w:val="32"/>
        </w:rPr>
        <w:t>万元，比202</w:t>
      </w:r>
      <w:r>
        <w:rPr>
          <w:rFonts w:hint="eastAsia" w:ascii="仿宋" w:hAnsi="仿宋" w:eastAsia="仿宋"/>
          <w:kern w:val="0"/>
          <w:sz w:val="32"/>
          <w:szCs w:val="32"/>
          <w:lang w:val="en-US" w:eastAsia="zh-CN"/>
        </w:rPr>
        <w:t>4</w:t>
      </w:r>
      <w:r>
        <w:rPr>
          <w:rFonts w:hint="eastAsia" w:ascii="仿宋" w:hAnsi="仿宋" w:eastAsia="仿宋"/>
          <w:kern w:val="0"/>
          <w:sz w:val="32"/>
          <w:szCs w:val="32"/>
        </w:rPr>
        <w:t>年预算数减少</w:t>
      </w:r>
      <w:r>
        <w:rPr>
          <w:rFonts w:hint="eastAsia" w:ascii="仿宋" w:hAnsi="仿宋" w:eastAsia="仿宋"/>
          <w:kern w:val="0"/>
          <w:sz w:val="32"/>
          <w:szCs w:val="32"/>
          <w:lang w:val="en-US" w:eastAsia="zh-CN"/>
        </w:rPr>
        <w:t>0.07</w:t>
      </w:r>
      <w:r>
        <w:rPr>
          <w:rFonts w:hint="eastAsia" w:ascii="仿宋" w:hAnsi="仿宋" w:eastAsia="仿宋"/>
          <w:kern w:val="0"/>
          <w:sz w:val="32"/>
          <w:szCs w:val="32"/>
        </w:rPr>
        <w:t>万元，主要原因是主要原因是按财政要求缩减支出。</w:t>
      </w:r>
    </w:p>
    <w:p w14:paraId="60353E9A">
      <w:pPr>
        <w:pStyle w:val="9"/>
        <w:rPr>
          <w:rFonts w:ascii="楷体" w:hAnsi="楷体" w:eastAsia="楷体" w:cs="楷体"/>
          <w:sz w:val="32"/>
          <w:szCs w:val="32"/>
        </w:rPr>
      </w:pPr>
      <w:r>
        <w:rPr>
          <w:rFonts w:hint="eastAsia" w:ascii="仿宋" w:hAnsi="仿宋" w:eastAsia="仿宋"/>
          <w:sz w:val="32"/>
          <w:szCs w:val="32"/>
        </w:rPr>
        <w:t xml:space="preserve">    </w:t>
      </w:r>
      <w:r>
        <w:rPr>
          <w:rFonts w:hint="eastAsia" w:ascii="楷体" w:hAnsi="楷体" w:eastAsia="楷体" w:cs="楷体"/>
          <w:sz w:val="32"/>
          <w:szCs w:val="32"/>
        </w:rPr>
        <w:t>八、202</w:t>
      </w:r>
      <w:r>
        <w:rPr>
          <w:rFonts w:hint="eastAsia" w:ascii="楷体" w:hAnsi="楷体" w:eastAsia="楷体" w:cs="楷体"/>
          <w:sz w:val="32"/>
          <w:szCs w:val="32"/>
          <w:lang w:val="en-US" w:eastAsia="zh-CN"/>
        </w:rPr>
        <w:t>5</w:t>
      </w:r>
      <w:r>
        <w:rPr>
          <w:rFonts w:hint="eastAsia" w:ascii="楷体" w:hAnsi="楷体" w:eastAsia="楷体" w:cs="楷体"/>
          <w:sz w:val="32"/>
          <w:szCs w:val="32"/>
        </w:rPr>
        <w:t>年政府性基金预算支出情况</w:t>
      </w:r>
    </w:p>
    <w:p w14:paraId="6CFED0B9">
      <w:pPr>
        <w:ind w:firstLine="640" w:firstLineChars="200"/>
        <w:jc w:val="left"/>
        <w:rPr>
          <w:rFonts w:hint="eastAsia" w:ascii="仿宋" w:hAnsi="仿宋" w:eastAsia="仿宋"/>
          <w:sz w:val="32"/>
          <w:szCs w:val="32"/>
          <w:lang w:val="en-US" w:eastAsia="zh-CN"/>
        </w:rPr>
      </w:pPr>
      <w:r>
        <w:rPr>
          <w:rFonts w:hint="eastAsia" w:ascii="仿宋" w:hAnsi="仿宋" w:eastAsia="仿宋"/>
          <w:sz w:val="32"/>
          <w:szCs w:val="32"/>
          <w:lang w:val="en-US" w:eastAsia="zh-CN"/>
        </w:rPr>
        <w:t>2025年</w:t>
      </w:r>
      <w:r>
        <w:rPr>
          <w:rFonts w:hint="eastAsia" w:ascii="仿宋" w:hAnsi="仿宋" w:eastAsia="仿宋"/>
          <w:sz w:val="32"/>
          <w:szCs w:val="32"/>
        </w:rPr>
        <w:t>本单位无政府性基金预算支出</w:t>
      </w:r>
    </w:p>
    <w:p w14:paraId="39906816">
      <w:pPr>
        <w:pStyle w:val="9"/>
        <w:ind w:firstLine="640"/>
        <w:rPr>
          <w:rFonts w:ascii="楷体" w:hAnsi="楷体" w:eastAsia="楷体" w:cs="楷体"/>
          <w:sz w:val="32"/>
          <w:szCs w:val="32"/>
        </w:rPr>
      </w:pPr>
      <w:r>
        <w:rPr>
          <w:rFonts w:hint="eastAsia" w:ascii="楷体" w:hAnsi="楷体" w:eastAsia="楷体" w:cs="楷体"/>
          <w:sz w:val="32"/>
          <w:szCs w:val="32"/>
        </w:rPr>
        <w:t>九、202</w:t>
      </w:r>
      <w:r>
        <w:rPr>
          <w:rFonts w:hint="eastAsia" w:ascii="楷体" w:hAnsi="楷体" w:eastAsia="楷体" w:cs="楷体"/>
          <w:sz w:val="32"/>
          <w:szCs w:val="32"/>
          <w:lang w:val="en-US" w:eastAsia="zh-CN"/>
        </w:rPr>
        <w:t>5</w:t>
      </w:r>
      <w:r>
        <w:rPr>
          <w:rFonts w:hint="eastAsia" w:ascii="楷体" w:hAnsi="楷体" w:eastAsia="楷体" w:cs="楷体"/>
          <w:sz w:val="32"/>
          <w:szCs w:val="32"/>
        </w:rPr>
        <w:t>年国有资本经营预算支出情况</w:t>
      </w:r>
    </w:p>
    <w:p w14:paraId="78271549">
      <w:pPr>
        <w:ind w:firstLine="640" w:firstLineChars="200"/>
        <w:jc w:val="left"/>
        <w:rPr>
          <w:rFonts w:ascii="仿宋" w:hAnsi="仿宋" w:eastAsia="仿宋"/>
          <w:sz w:val="32"/>
          <w:szCs w:val="32"/>
        </w:rPr>
      </w:pPr>
      <w:r>
        <w:rPr>
          <w:rFonts w:hint="eastAsia" w:ascii="仿宋" w:hAnsi="仿宋" w:eastAsia="仿宋"/>
          <w:sz w:val="32"/>
          <w:szCs w:val="32"/>
          <w:lang w:val="en-US" w:eastAsia="zh-CN"/>
        </w:rPr>
        <w:t>2025年</w:t>
      </w:r>
      <w:r>
        <w:rPr>
          <w:rFonts w:hint="eastAsia" w:ascii="仿宋" w:hAnsi="仿宋" w:eastAsia="仿宋"/>
          <w:sz w:val="32"/>
          <w:szCs w:val="32"/>
        </w:rPr>
        <w:t>本单位无国有资本经营预算支出。</w:t>
      </w:r>
    </w:p>
    <w:p w14:paraId="028EDDC6">
      <w:pPr>
        <w:numPr>
          <w:ilvl w:val="0"/>
          <w:numId w:val="3"/>
        </w:numPr>
        <w:jc w:val="left"/>
        <w:rPr>
          <w:rFonts w:ascii="楷体" w:hAnsi="楷体" w:eastAsia="楷体" w:cs="楷体"/>
          <w:sz w:val="32"/>
          <w:szCs w:val="32"/>
        </w:rPr>
      </w:pPr>
      <w:r>
        <w:rPr>
          <w:rFonts w:hint="eastAsia" w:ascii="楷体" w:hAnsi="楷体" w:eastAsia="楷体" w:cs="楷体"/>
          <w:sz w:val="32"/>
          <w:szCs w:val="32"/>
        </w:rPr>
        <w:t>其他重要事项的说明情况</w:t>
      </w:r>
    </w:p>
    <w:p w14:paraId="4DBB8460">
      <w:pPr>
        <w:ind w:firstLine="640" w:firstLineChars="200"/>
        <w:jc w:val="left"/>
        <w:rPr>
          <w:rFonts w:ascii="楷体" w:hAnsi="楷体" w:eastAsia="楷体" w:cs="楷体"/>
          <w:sz w:val="32"/>
          <w:szCs w:val="32"/>
        </w:rPr>
      </w:pPr>
      <w:r>
        <w:rPr>
          <w:rFonts w:hint="eastAsia" w:ascii="楷体" w:hAnsi="楷体" w:eastAsia="楷体" w:cs="楷体"/>
          <w:sz w:val="32"/>
          <w:szCs w:val="32"/>
        </w:rPr>
        <w:t>（一）机关运行经费</w:t>
      </w:r>
    </w:p>
    <w:p w14:paraId="33FE9514">
      <w:pPr>
        <w:pStyle w:val="8"/>
        <w:ind w:firstLine="64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年本单位机关运行经费财政拨款预算</w:t>
      </w:r>
      <w:r>
        <w:rPr>
          <w:rFonts w:hint="eastAsia" w:ascii="仿宋" w:hAnsi="仿宋" w:eastAsia="仿宋"/>
          <w:sz w:val="32"/>
          <w:szCs w:val="32"/>
          <w:lang w:val="en-US" w:eastAsia="zh-CN"/>
        </w:rPr>
        <w:t>13.40</w:t>
      </w:r>
      <w:r>
        <w:rPr>
          <w:rFonts w:hint="eastAsia" w:ascii="仿宋" w:hAnsi="仿宋" w:eastAsia="仿宋"/>
          <w:sz w:val="32"/>
          <w:szCs w:val="32"/>
        </w:rPr>
        <w:t>万元，比202</w:t>
      </w:r>
      <w:r>
        <w:rPr>
          <w:rFonts w:hint="eastAsia" w:ascii="仿宋" w:hAnsi="仿宋" w:eastAsia="仿宋"/>
          <w:sz w:val="32"/>
          <w:szCs w:val="32"/>
          <w:lang w:val="en-US" w:eastAsia="zh-CN"/>
        </w:rPr>
        <w:t>4</w:t>
      </w:r>
      <w:r>
        <w:rPr>
          <w:rFonts w:hint="eastAsia" w:ascii="仿宋" w:hAnsi="仿宋" w:eastAsia="仿宋"/>
          <w:sz w:val="32"/>
          <w:szCs w:val="32"/>
        </w:rPr>
        <w:t>年预算增加</w:t>
      </w:r>
      <w:r>
        <w:rPr>
          <w:rFonts w:hint="eastAsia" w:ascii="仿宋" w:hAnsi="仿宋" w:eastAsia="仿宋"/>
          <w:sz w:val="32"/>
          <w:szCs w:val="32"/>
          <w:lang w:val="en-US" w:eastAsia="zh-CN"/>
        </w:rPr>
        <w:t>0.26</w:t>
      </w:r>
      <w:r>
        <w:rPr>
          <w:rFonts w:hint="eastAsia" w:ascii="仿宋" w:hAnsi="仿宋" w:eastAsia="仿宋"/>
          <w:sz w:val="32"/>
          <w:szCs w:val="32"/>
        </w:rPr>
        <w:t>万元，增长</w:t>
      </w:r>
      <w:r>
        <w:rPr>
          <w:rFonts w:hint="eastAsia" w:ascii="仿宋" w:hAnsi="仿宋" w:eastAsia="仿宋"/>
          <w:sz w:val="32"/>
          <w:szCs w:val="32"/>
          <w:lang w:val="en-US" w:eastAsia="zh-CN"/>
        </w:rPr>
        <w:t>1.99</w:t>
      </w:r>
      <w:r>
        <w:rPr>
          <w:rFonts w:hint="eastAsia" w:ascii="仿宋" w:hAnsi="仿宋" w:eastAsia="仿宋"/>
          <w:sz w:val="32"/>
          <w:szCs w:val="32"/>
        </w:rPr>
        <w:t>%，主要原因是</w:t>
      </w:r>
      <w:r>
        <w:rPr>
          <w:rFonts w:hint="eastAsia" w:ascii="仿宋" w:hAnsi="仿宋" w:eastAsia="仿宋"/>
          <w:sz w:val="32"/>
          <w:szCs w:val="32"/>
          <w:lang w:eastAsia="zh-CN"/>
        </w:rPr>
        <w:t>人员变动，车补增加</w:t>
      </w:r>
      <w:r>
        <w:rPr>
          <w:rFonts w:hint="eastAsia" w:ascii="仿宋" w:hAnsi="仿宋" w:eastAsia="仿宋"/>
          <w:sz w:val="32"/>
          <w:szCs w:val="32"/>
        </w:rPr>
        <w:t>。</w:t>
      </w:r>
    </w:p>
    <w:p w14:paraId="7FE862CD">
      <w:pPr>
        <w:ind w:firstLine="640" w:firstLineChars="200"/>
        <w:jc w:val="left"/>
        <w:rPr>
          <w:rFonts w:ascii="楷体" w:hAnsi="楷体" w:eastAsia="楷体"/>
          <w:sz w:val="32"/>
          <w:szCs w:val="32"/>
        </w:rPr>
      </w:pPr>
      <w:r>
        <w:rPr>
          <w:rFonts w:hint="eastAsia" w:ascii="楷体" w:hAnsi="楷体" w:eastAsia="楷体"/>
          <w:sz w:val="32"/>
          <w:szCs w:val="32"/>
        </w:rPr>
        <w:t>（二）政府采购情况</w:t>
      </w:r>
    </w:p>
    <w:p w14:paraId="5A3C74E3">
      <w:pPr>
        <w:ind w:firstLine="640" w:firstLineChars="2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4</w:t>
      </w:r>
      <w:r>
        <w:rPr>
          <w:rFonts w:hint="eastAsia" w:ascii="仿宋" w:hAnsi="仿宋" w:eastAsia="仿宋"/>
          <w:sz w:val="32"/>
          <w:szCs w:val="32"/>
        </w:rPr>
        <w:t>年本单位无政府采购出。</w:t>
      </w:r>
    </w:p>
    <w:p w14:paraId="0023FF94">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（三）国有资产占有使用情况</w:t>
      </w:r>
    </w:p>
    <w:p w14:paraId="2285354F">
      <w:pPr>
        <w:pStyle w:val="8"/>
        <w:ind w:firstLine="0" w:firstLineChars="0"/>
        <w:jc w:val="left"/>
        <w:rPr>
          <w:rFonts w:ascii="仿宋" w:hAnsi="仿宋" w:eastAsia="仿宋"/>
          <w:sz w:val="32"/>
          <w:szCs w:val="32"/>
        </w:rPr>
      </w:pPr>
      <w:r>
        <w:rPr>
          <w:rFonts w:hint="eastAsia" w:ascii="仿宋" w:hAnsi="仿宋" w:eastAsia="仿宋"/>
          <w:sz w:val="32"/>
          <w:szCs w:val="32"/>
        </w:rPr>
        <w:t xml:space="preserve">    202</w:t>
      </w:r>
      <w:r>
        <w:rPr>
          <w:rFonts w:hint="eastAsia" w:ascii="仿宋" w:hAnsi="仿宋" w:eastAsia="仿宋"/>
          <w:sz w:val="32"/>
          <w:szCs w:val="32"/>
          <w:lang w:val="en-US" w:eastAsia="zh-CN"/>
        </w:rPr>
        <w:t>4</w:t>
      </w:r>
      <w:r>
        <w:rPr>
          <w:rFonts w:hint="eastAsia" w:ascii="仿宋" w:hAnsi="仿宋" w:eastAsia="仿宋"/>
          <w:sz w:val="32"/>
          <w:szCs w:val="32"/>
        </w:rPr>
        <w:t>年本单位无国有资产。</w:t>
      </w:r>
    </w:p>
    <w:p w14:paraId="6717BB3A">
      <w:pPr>
        <w:numPr>
          <w:ilvl w:val="0"/>
          <w:numId w:val="4"/>
        </w:numPr>
        <w:ind w:firstLine="640"/>
        <w:jc w:val="left"/>
        <w:rPr>
          <w:rFonts w:ascii="楷体" w:hAnsi="楷体" w:eastAsia="楷体"/>
          <w:sz w:val="32"/>
          <w:szCs w:val="32"/>
        </w:rPr>
      </w:pPr>
      <w:r>
        <w:rPr>
          <w:rFonts w:hint="eastAsia" w:ascii="楷体" w:hAnsi="楷体" w:eastAsia="楷体"/>
          <w:sz w:val="32"/>
          <w:szCs w:val="32"/>
        </w:rPr>
        <w:t>预算项目绩效目标管理情况</w:t>
      </w:r>
    </w:p>
    <w:p w14:paraId="5EE373AE">
      <w:pPr>
        <w:jc w:val="left"/>
        <w:rPr>
          <w:rFonts w:ascii="仿宋" w:hAnsi="仿宋" w:eastAsia="仿宋"/>
          <w:sz w:val="32"/>
          <w:szCs w:val="32"/>
        </w:rPr>
      </w:pPr>
      <w:r>
        <w:rPr>
          <w:rFonts w:hint="eastAsia" w:ascii="仿宋" w:hAnsi="仿宋" w:eastAsia="仿宋"/>
          <w:sz w:val="32"/>
          <w:szCs w:val="32"/>
        </w:rPr>
        <w:t xml:space="preserve">    按照全面实施预算绩效管理的要求，结合本部门职能和重点工作，202</w:t>
      </w:r>
      <w:r>
        <w:rPr>
          <w:rFonts w:hint="eastAsia" w:ascii="仿宋" w:hAnsi="仿宋" w:eastAsia="仿宋"/>
          <w:sz w:val="32"/>
          <w:szCs w:val="32"/>
          <w:lang w:val="en-US" w:eastAsia="zh-CN"/>
        </w:rPr>
        <w:t>5</w:t>
      </w:r>
      <w:r>
        <w:rPr>
          <w:rFonts w:hint="eastAsia" w:ascii="仿宋" w:hAnsi="仿宋" w:eastAsia="仿宋"/>
          <w:sz w:val="32"/>
          <w:szCs w:val="32"/>
        </w:rPr>
        <w:t>年</w:t>
      </w:r>
      <w:r>
        <w:rPr>
          <w:rFonts w:hint="eastAsia" w:ascii="仿宋" w:hAnsi="仿宋" w:eastAsia="仿宋"/>
          <w:sz w:val="32"/>
          <w:szCs w:val="32"/>
          <w:lang w:eastAsia="zh-CN"/>
        </w:rPr>
        <w:t>将</w:t>
      </w:r>
      <w:r>
        <w:rPr>
          <w:rFonts w:hint="eastAsia" w:ascii="仿宋" w:hAnsi="仿宋" w:eastAsia="仿宋"/>
          <w:sz w:val="32"/>
          <w:szCs w:val="32"/>
        </w:rPr>
        <w:t xml:space="preserve"> </w:t>
      </w:r>
      <w:r>
        <w:rPr>
          <w:rFonts w:hint="eastAsia" w:ascii="仿宋" w:hAnsi="仿宋" w:eastAsia="仿宋"/>
          <w:sz w:val="32"/>
          <w:szCs w:val="32"/>
          <w:lang w:val="en-US" w:eastAsia="zh-CN"/>
        </w:rPr>
        <w:t>0</w:t>
      </w:r>
      <w:r>
        <w:rPr>
          <w:rFonts w:hint="eastAsia" w:ascii="仿宋" w:hAnsi="仿宋" w:eastAsia="仿宋"/>
          <w:sz w:val="32"/>
          <w:szCs w:val="32"/>
        </w:rPr>
        <w:t>个项目</w:t>
      </w:r>
      <w:r>
        <w:rPr>
          <w:rFonts w:hint="eastAsia" w:ascii="仿宋" w:hAnsi="仿宋" w:eastAsia="仿宋"/>
          <w:sz w:val="32"/>
          <w:szCs w:val="32"/>
          <w:lang w:eastAsia="zh-CN"/>
        </w:rPr>
        <w:t>支出的绩效目标和指标向社会公开</w:t>
      </w:r>
      <w:r>
        <w:rPr>
          <w:rFonts w:hint="eastAsia" w:ascii="仿宋" w:hAnsi="仿宋" w:eastAsia="仿宋"/>
          <w:sz w:val="32"/>
          <w:szCs w:val="32"/>
        </w:rPr>
        <w:t>，涉及金额</w:t>
      </w:r>
      <w:r>
        <w:rPr>
          <w:rFonts w:hint="eastAsia" w:ascii="仿宋" w:hAnsi="仿宋" w:eastAsia="仿宋"/>
          <w:sz w:val="32"/>
          <w:szCs w:val="32"/>
          <w:lang w:val="en-US" w:eastAsia="zh-CN"/>
        </w:rPr>
        <w:t>0</w:t>
      </w:r>
      <w:r>
        <w:rPr>
          <w:rFonts w:hint="eastAsia" w:ascii="仿宋" w:hAnsi="仿宋" w:eastAsia="仿宋"/>
          <w:sz w:val="32"/>
          <w:szCs w:val="32"/>
        </w:rPr>
        <w:t>万元。</w:t>
      </w:r>
    </w:p>
    <w:p w14:paraId="768FB0E8">
      <w:pPr>
        <w:jc w:val="left"/>
        <w:rPr>
          <w:rFonts w:hint="eastAsia" w:ascii="仿宋" w:hAnsi="仿宋" w:eastAsia="仿宋"/>
          <w:sz w:val="32"/>
          <w:szCs w:val="32"/>
          <w:lang w:val="en-US" w:eastAsia="zh-CN"/>
        </w:rPr>
      </w:pPr>
    </w:p>
    <w:p w14:paraId="0BFCAD0E">
      <w:pPr>
        <w:jc w:val="left"/>
        <w:rPr>
          <w:rFonts w:hint="eastAsia" w:ascii="仿宋" w:hAnsi="仿宋" w:eastAsia="仿宋"/>
          <w:sz w:val="32"/>
          <w:szCs w:val="32"/>
          <w:lang w:val="en-US" w:eastAsia="zh-CN"/>
        </w:rPr>
      </w:pPr>
    </w:p>
    <w:p w14:paraId="23A4D1D8">
      <w:pPr>
        <w:jc w:val="left"/>
        <w:rPr>
          <w:rFonts w:hint="default" w:ascii="仿宋" w:hAnsi="仿宋" w:eastAsia="仿宋"/>
          <w:sz w:val="32"/>
          <w:szCs w:val="32"/>
          <w:lang w:val="en-US" w:eastAsia="zh-CN"/>
        </w:rPr>
      </w:pPr>
    </w:p>
    <w:p w14:paraId="78C88980">
      <w:pPr>
        <w:jc w:val="left"/>
        <w:rPr>
          <w:rFonts w:hint="default" w:ascii="仿宋" w:hAnsi="仿宋" w:eastAsia="仿宋"/>
          <w:sz w:val="32"/>
          <w:szCs w:val="32"/>
          <w:lang w:val="en-US" w:eastAsia="zh-CN"/>
        </w:rPr>
      </w:pPr>
      <w:bookmarkStart w:id="0" w:name="_GoBack"/>
      <w:bookmarkEnd w:id="0"/>
    </w:p>
    <w:p w14:paraId="177DE12F">
      <w:pPr>
        <w:jc w:val="center"/>
        <w:rPr>
          <w:rFonts w:ascii="仿宋" w:hAnsi="仿宋" w:eastAsia="仿宋"/>
          <w:sz w:val="32"/>
          <w:szCs w:val="32"/>
        </w:rPr>
      </w:pPr>
    </w:p>
    <w:p w14:paraId="5BEAB39C">
      <w:pPr>
        <w:jc w:val="center"/>
        <w:rPr>
          <w:rFonts w:ascii="黑体" w:hAnsi="黑体" w:eastAsia="黑体"/>
          <w:sz w:val="32"/>
          <w:szCs w:val="32"/>
        </w:rPr>
      </w:pPr>
      <w:r>
        <w:rPr>
          <w:rFonts w:hint="eastAsia" w:ascii="黑体" w:hAnsi="黑体" w:eastAsia="黑体"/>
          <w:sz w:val="32"/>
          <w:szCs w:val="32"/>
        </w:rPr>
        <w:t>第三部分  名词解释</w:t>
      </w:r>
    </w:p>
    <w:p w14:paraId="72BA8D45">
      <w:pPr>
        <w:ind w:firstLine="640" w:firstLineChars="200"/>
        <w:rPr>
          <w:rFonts w:ascii="仿宋_GB2312" w:eastAsia="仿宋_GB2312"/>
          <w:sz w:val="32"/>
          <w:szCs w:val="32"/>
        </w:rPr>
      </w:pPr>
      <w:r>
        <w:rPr>
          <w:rFonts w:hint="eastAsia" w:ascii="仿宋_GB2312" w:eastAsia="仿宋_GB2312"/>
          <w:sz w:val="32"/>
          <w:szCs w:val="32"/>
        </w:rPr>
        <w:t>一、一般公共预算拨款收入：指本级财政通过当年一般公共预算拨付的资金。</w:t>
      </w:r>
    </w:p>
    <w:p w14:paraId="2B7CFECE">
      <w:pPr>
        <w:ind w:firstLine="640" w:firstLineChars="200"/>
        <w:rPr>
          <w:rFonts w:ascii="仿宋_GB2312" w:eastAsia="仿宋_GB2312"/>
          <w:sz w:val="32"/>
          <w:szCs w:val="32"/>
        </w:rPr>
      </w:pPr>
      <w:r>
        <w:rPr>
          <w:rFonts w:hint="eastAsia" w:ascii="仿宋_GB2312" w:eastAsia="仿宋_GB2312"/>
          <w:sz w:val="32"/>
          <w:szCs w:val="32"/>
        </w:rPr>
        <w:t>二、政府性基金预算拨款收入：指本级财政通过当年政府性基金预算拨付的资金。</w:t>
      </w:r>
    </w:p>
    <w:p w14:paraId="19E1AEFC">
      <w:pPr>
        <w:ind w:firstLine="640" w:firstLineChars="200"/>
        <w:rPr>
          <w:rFonts w:ascii="仿宋_GB2312" w:eastAsia="仿宋_GB2312"/>
          <w:sz w:val="32"/>
          <w:szCs w:val="32"/>
        </w:rPr>
      </w:pPr>
      <w:r>
        <w:rPr>
          <w:rFonts w:hint="eastAsia" w:ascii="仿宋_GB2312" w:eastAsia="仿宋_GB2312"/>
          <w:sz w:val="32"/>
          <w:szCs w:val="32"/>
        </w:rPr>
        <w:t>三、国有资本经营预算拨款收入：指本级财政通过当年国有资本经营预算拨付的资金。</w:t>
      </w:r>
    </w:p>
    <w:p w14:paraId="253786D9">
      <w:pPr>
        <w:ind w:firstLine="640" w:firstLineChars="200"/>
        <w:rPr>
          <w:rFonts w:ascii="仿宋_GB2312" w:eastAsia="仿宋_GB2312"/>
          <w:sz w:val="32"/>
          <w:szCs w:val="32"/>
        </w:rPr>
      </w:pPr>
      <w:r>
        <w:rPr>
          <w:rFonts w:hint="eastAsia" w:ascii="仿宋_GB2312" w:eastAsia="仿宋_GB2312"/>
          <w:sz w:val="32"/>
          <w:szCs w:val="32"/>
        </w:rPr>
        <w:t>四、其他收入：指除上述收入以外的各项收入。包括银行存款利息收入。</w:t>
      </w:r>
    </w:p>
    <w:p w14:paraId="2EE06A32">
      <w:pPr>
        <w:ind w:firstLine="640" w:firstLineChars="200"/>
        <w:rPr>
          <w:rFonts w:ascii="仿宋_GB2312" w:eastAsia="仿宋_GB2312"/>
          <w:sz w:val="32"/>
          <w:szCs w:val="32"/>
        </w:rPr>
      </w:pPr>
      <w:r>
        <w:rPr>
          <w:rFonts w:hint="eastAsia" w:ascii="仿宋_GB2312" w:eastAsia="仿宋_GB2312"/>
          <w:sz w:val="32"/>
          <w:szCs w:val="32"/>
        </w:rPr>
        <w:t>五、基本支出：指为保障机构正常运转、完成日常工作任务而发生的人员支出和公用支出等各项支出。</w:t>
      </w:r>
    </w:p>
    <w:p w14:paraId="3E01DA3E">
      <w:pPr>
        <w:ind w:firstLine="640" w:firstLineChars="200"/>
        <w:rPr>
          <w:rFonts w:ascii="仿宋_GB2312" w:eastAsia="仿宋_GB2312"/>
          <w:sz w:val="32"/>
          <w:szCs w:val="32"/>
        </w:rPr>
      </w:pPr>
      <w:r>
        <w:rPr>
          <w:rFonts w:hint="eastAsia" w:ascii="仿宋_GB2312" w:eastAsia="仿宋_GB2312"/>
          <w:sz w:val="32"/>
          <w:szCs w:val="32"/>
        </w:rPr>
        <w:t>六、项目支出：指在基本支出之外为完成特定行政工作任务和事业发展目标所发生的各项支出。</w:t>
      </w:r>
    </w:p>
    <w:p w14:paraId="0FD705C5">
      <w:pPr>
        <w:ind w:firstLine="640" w:firstLineChars="200"/>
        <w:rPr>
          <w:rFonts w:ascii="仿宋_GB2312" w:eastAsia="仿宋_GB2312"/>
          <w:sz w:val="32"/>
          <w:szCs w:val="32"/>
        </w:rPr>
      </w:pPr>
      <w:r>
        <w:rPr>
          <w:rFonts w:hint="eastAsia" w:ascii="仿宋_GB2312" w:eastAsia="仿宋_GB2312"/>
          <w:sz w:val="32"/>
          <w:szCs w:val="32"/>
        </w:rPr>
        <w:t>七、年初结转和结余：指以前年度尚未完成、结转到本年仍按原规定用途继续使用的资金，或项目已完成等产生的结余资金。</w:t>
      </w:r>
    </w:p>
    <w:p w14:paraId="45ECA056">
      <w:pPr>
        <w:ind w:firstLine="640" w:firstLineChars="200"/>
        <w:rPr>
          <w:rFonts w:ascii="仿宋_GB2312" w:eastAsia="仿宋_GB2312"/>
          <w:sz w:val="32"/>
          <w:szCs w:val="32"/>
        </w:rPr>
      </w:pPr>
      <w:r>
        <w:rPr>
          <w:rFonts w:hint="eastAsia" w:ascii="仿宋_GB2312" w:eastAsia="仿宋_GB2312"/>
          <w:sz w:val="32"/>
          <w:szCs w:val="32"/>
        </w:rPr>
        <w:t>八、年末结转和结余：指事业单位按有关规定结转到下年或以后年度继续使用的资金，或项目已完成等产生的结余资金。</w:t>
      </w:r>
    </w:p>
    <w:p w14:paraId="57DA4EF3">
      <w:pPr>
        <w:ind w:firstLine="640" w:firstLineChars="200"/>
        <w:rPr>
          <w:rFonts w:ascii="仿宋_GB2312" w:eastAsia="仿宋_GB2312"/>
          <w:sz w:val="32"/>
          <w:szCs w:val="32"/>
        </w:rPr>
      </w:pPr>
      <w:r>
        <w:rPr>
          <w:rFonts w:hint="eastAsia" w:ascii="仿宋_GB2312" w:eastAsia="仿宋_GB2312"/>
          <w:sz w:val="32"/>
          <w:szCs w:val="32"/>
        </w:rPr>
        <w:t>九、“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14:paraId="0DADBDF3">
      <w:pPr>
        <w:ind w:firstLine="640" w:firstLineChars="200"/>
        <w:rPr>
          <w:rFonts w:ascii="仿宋_GB2312" w:eastAsia="仿宋_GB2312"/>
          <w:sz w:val="32"/>
          <w:szCs w:val="32"/>
        </w:rPr>
      </w:pPr>
      <w:r>
        <w:rPr>
          <w:rFonts w:hint="eastAsia" w:ascii="仿宋_GB2312" w:eastAsia="仿宋_GB2312"/>
          <w:sz w:val="32"/>
          <w:szCs w:val="32"/>
        </w:rPr>
        <w:t>十、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683A3D8F">
      <w:pPr>
        <w:ind w:firstLine="640" w:firstLineChars="200"/>
        <w:rPr>
          <w:rFonts w:ascii="仿宋_GB2312" w:eastAsia="仿宋_GB2312"/>
          <w:sz w:val="32"/>
          <w:szCs w:val="32"/>
        </w:rPr>
      </w:pPr>
      <w:r>
        <w:rPr>
          <w:rFonts w:hint="eastAsia" w:ascii="仿宋_GB2312" w:eastAsia="仿宋_GB2312"/>
          <w:sz w:val="32"/>
          <w:szCs w:val="32"/>
        </w:rPr>
        <w:t>十一、住房公积金支出：指行政事业单位按人力资源和社会保障部、财政部规定的基本工资和津贴补贴以及规定比例为职工缴纳的住房公积金支出。</w:t>
      </w:r>
    </w:p>
    <w:p w14:paraId="7751B935">
      <w:pPr>
        <w:ind w:firstLine="640" w:firstLineChars="200"/>
        <w:jc w:val="left"/>
        <w:rPr>
          <w:rFonts w:ascii="仿宋_GB2312" w:hAnsi="仿宋_GB2312" w:eastAsia="仿宋_GB2312" w:cs="Times New Roman"/>
          <w:kern w:val="0"/>
          <w:sz w:val="32"/>
          <w:szCs w:val="32"/>
        </w:rPr>
      </w:pPr>
      <w:r>
        <w:rPr>
          <w:rFonts w:hint="eastAsia" w:ascii="仿宋_GB2312" w:eastAsia="仿宋_GB2312"/>
          <w:sz w:val="32"/>
          <w:szCs w:val="32"/>
        </w:rPr>
        <w:t>十二、项目支出绩效目标：</w:t>
      </w:r>
      <w:r>
        <w:rPr>
          <w:rFonts w:ascii="仿宋_GB2312" w:hAnsi="仿宋_GB2312" w:eastAsia="仿宋_GB2312" w:cs="Times New Roman"/>
          <w:kern w:val="0"/>
          <w:sz w:val="32"/>
          <w:szCs w:val="32"/>
        </w:rPr>
        <w:t>是以项目支出为对象，以项目实施所带来的产出和结果为主要内容，</w:t>
      </w:r>
      <w:r>
        <w:rPr>
          <w:rFonts w:hint="eastAsia" w:ascii="仿宋_GB2312" w:hAnsi="仿宋_GB2312" w:eastAsia="仿宋_GB2312" w:cs="Times New Roman"/>
          <w:kern w:val="0"/>
          <w:sz w:val="32"/>
          <w:szCs w:val="32"/>
        </w:rPr>
        <w:t>为</w:t>
      </w:r>
      <w:r>
        <w:rPr>
          <w:rFonts w:ascii="仿宋_GB2312" w:hAnsi="仿宋_GB2312" w:eastAsia="仿宋_GB2312" w:cs="Times New Roman"/>
          <w:kern w:val="0"/>
          <w:sz w:val="32"/>
          <w:szCs w:val="32"/>
        </w:rPr>
        <w:t>促进预算单位完成特定工作任务或事业发展</w:t>
      </w:r>
      <w:r>
        <w:rPr>
          <w:rFonts w:hint="eastAsia" w:ascii="仿宋_GB2312" w:hAnsi="仿宋_GB2312" w:eastAsia="仿宋_GB2312" w:cs="Times New Roman"/>
          <w:kern w:val="0"/>
          <w:sz w:val="32"/>
          <w:szCs w:val="32"/>
        </w:rPr>
        <w:t>所制定的</w:t>
      </w:r>
      <w:r>
        <w:rPr>
          <w:rFonts w:ascii="仿宋_GB2312" w:hAnsi="仿宋_GB2312" w:eastAsia="仿宋_GB2312" w:cs="Times New Roman"/>
          <w:kern w:val="0"/>
          <w:sz w:val="32"/>
          <w:szCs w:val="32"/>
        </w:rPr>
        <w:t>目标</w:t>
      </w:r>
      <w:r>
        <w:rPr>
          <w:rFonts w:hint="eastAsia" w:ascii="仿宋_GB2312" w:hAnsi="仿宋_GB2312" w:eastAsia="仿宋_GB2312" w:cs="Times New Roman"/>
          <w:kern w:val="0"/>
          <w:sz w:val="32"/>
          <w:szCs w:val="32"/>
        </w:rPr>
        <w:t>。</w:t>
      </w:r>
    </w:p>
    <w:p w14:paraId="4CFE9CC6">
      <w:pPr>
        <w:ind w:firstLine="640" w:firstLineChars="200"/>
        <w:rPr>
          <w:rFonts w:ascii="仿宋_GB2312" w:eastAsia="仿宋_GB2312"/>
          <w:sz w:val="32"/>
          <w:szCs w:val="32"/>
        </w:rPr>
      </w:pPr>
    </w:p>
    <w:p w14:paraId="38433E3C">
      <w:pPr>
        <w:jc w:val="left"/>
        <w:rPr>
          <w:rFonts w:ascii="仿宋" w:hAnsi="仿宋" w:eastAsia="仿宋"/>
          <w:sz w:val="32"/>
          <w:szCs w:val="32"/>
        </w:rPr>
      </w:pPr>
      <w:r>
        <w:rPr>
          <w:rFonts w:hint="eastAsia" w:ascii="仿宋" w:hAnsi="仿宋" w:eastAsia="仿宋"/>
          <w:sz w:val="32"/>
          <w:szCs w:val="32"/>
        </w:rPr>
        <w:t xml:space="preserve"> </w:t>
      </w:r>
    </w:p>
    <w:p w14:paraId="68250850">
      <w:pPr>
        <w:jc w:val="left"/>
        <w:rPr>
          <w:rFonts w:ascii="仿宋" w:hAnsi="仿宋" w:eastAsia="仿宋"/>
          <w:sz w:val="32"/>
          <w:szCs w:val="32"/>
        </w:rPr>
      </w:pPr>
    </w:p>
    <w:p w14:paraId="757010AF">
      <w:pPr>
        <w:jc w:val="left"/>
        <w:rPr>
          <w:rFonts w:ascii="仿宋" w:hAnsi="仿宋" w:eastAsia="仿宋"/>
          <w:sz w:val="32"/>
          <w:szCs w:val="32"/>
        </w:rPr>
      </w:pPr>
    </w:p>
    <w:p w14:paraId="1B9DA4B3">
      <w:pPr>
        <w:jc w:val="center"/>
        <w:rPr>
          <w:rFonts w:ascii="仿宋" w:hAnsi="仿宋" w:eastAsia="仿宋"/>
          <w:sz w:val="32"/>
          <w:szCs w:val="32"/>
        </w:rPr>
      </w:pPr>
      <w:r>
        <w:rPr>
          <w:rFonts w:hint="eastAsia" w:ascii="仿宋" w:hAnsi="仿宋" w:eastAsia="仿宋"/>
          <w:sz w:val="32"/>
          <w:szCs w:val="32"/>
        </w:rPr>
        <w:t>第四部分  预算表格</w:t>
      </w:r>
    </w:p>
    <w:p w14:paraId="0252C055">
      <w:pPr>
        <w:jc w:val="left"/>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年部门预算表套表（预算一体化系统报表查询模块中提取相应数据）</w:t>
      </w:r>
      <w:r>
        <w:rPr>
          <w:rFonts w:hint="eastAsia" w:ascii="仿宋" w:hAnsi="仿宋" w:eastAsia="仿宋"/>
          <w:sz w:val="32"/>
          <w:szCs w:val="32"/>
          <w:lang w:eastAsia="zh-CN"/>
        </w:rPr>
        <w:t>。</w:t>
      </w:r>
    </w:p>
    <w:p w14:paraId="2FFB2AE9">
      <w:pPr>
        <w:rPr>
          <w:rFonts w:ascii="仿宋" w:hAnsi="仿宋" w:eastAsia="仿宋"/>
          <w:sz w:val="32"/>
          <w:szCs w:val="32"/>
        </w:rPr>
      </w:pPr>
    </w:p>
    <w:p w14:paraId="00E3AD42">
      <w:pPr>
        <w:rPr>
          <w:rFonts w:ascii="仿宋" w:hAnsi="仿宋" w:eastAsia="仿宋"/>
          <w:b/>
          <w:sz w:val="32"/>
          <w:szCs w:val="32"/>
        </w:rPr>
      </w:pPr>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C56D3"/>
    <w:multiLevelType w:val="singleLevel"/>
    <w:tmpl w:val="1E8C56D3"/>
    <w:lvl w:ilvl="0" w:tentative="0">
      <w:start w:val="10"/>
      <w:numFmt w:val="chineseCounting"/>
      <w:suff w:val="nothing"/>
      <w:lvlText w:val="%1、"/>
      <w:lvlJc w:val="left"/>
      <w:pPr>
        <w:ind w:left="640" w:firstLine="0"/>
      </w:pPr>
      <w:rPr>
        <w:rFonts w:hint="eastAsia"/>
      </w:rPr>
    </w:lvl>
  </w:abstractNum>
  <w:abstractNum w:abstractNumId="1">
    <w:nsid w:val="2480E559"/>
    <w:multiLevelType w:val="singleLevel"/>
    <w:tmpl w:val="2480E559"/>
    <w:lvl w:ilvl="0" w:tentative="0">
      <w:start w:val="4"/>
      <w:numFmt w:val="chineseCounting"/>
      <w:suff w:val="nothing"/>
      <w:lvlText w:val="（%1）"/>
      <w:lvlJc w:val="left"/>
      <w:rPr>
        <w:rFonts w:hint="eastAsia"/>
      </w:rPr>
    </w:lvl>
  </w:abstractNum>
  <w:abstractNum w:abstractNumId="2">
    <w:nsid w:val="77206646"/>
    <w:multiLevelType w:val="multilevel"/>
    <w:tmpl w:val="77206646"/>
    <w:lvl w:ilvl="0" w:tentative="0">
      <w:start w:val="1"/>
      <w:numFmt w:val="japaneseCounting"/>
      <w:lvlText w:val="%1、"/>
      <w:lvlJc w:val="left"/>
      <w:pPr>
        <w:ind w:left="1245" w:hanging="420"/>
      </w:pPr>
      <w:rPr>
        <w:rFonts w:hint="default"/>
      </w:rPr>
    </w:lvl>
    <w:lvl w:ilvl="1" w:tentative="0">
      <w:start w:val="1"/>
      <w:numFmt w:val="lowerLetter"/>
      <w:lvlText w:val="%2)"/>
      <w:lvlJc w:val="left"/>
      <w:pPr>
        <w:ind w:left="1665" w:hanging="420"/>
      </w:pPr>
    </w:lvl>
    <w:lvl w:ilvl="2" w:tentative="0">
      <w:start w:val="1"/>
      <w:numFmt w:val="lowerRoman"/>
      <w:lvlText w:val="%3."/>
      <w:lvlJc w:val="right"/>
      <w:pPr>
        <w:ind w:left="2085" w:hanging="420"/>
      </w:pPr>
    </w:lvl>
    <w:lvl w:ilvl="3" w:tentative="0">
      <w:start w:val="1"/>
      <w:numFmt w:val="decimal"/>
      <w:lvlText w:val="%4."/>
      <w:lvlJc w:val="left"/>
      <w:pPr>
        <w:ind w:left="2505" w:hanging="420"/>
      </w:pPr>
    </w:lvl>
    <w:lvl w:ilvl="4" w:tentative="0">
      <w:start w:val="1"/>
      <w:numFmt w:val="lowerLetter"/>
      <w:lvlText w:val="%5)"/>
      <w:lvlJc w:val="left"/>
      <w:pPr>
        <w:ind w:left="2925" w:hanging="420"/>
      </w:pPr>
    </w:lvl>
    <w:lvl w:ilvl="5" w:tentative="0">
      <w:start w:val="1"/>
      <w:numFmt w:val="lowerRoman"/>
      <w:lvlText w:val="%6."/>
      <w:lvlJc w:val="right"/>
      <w:pPr>
        <w:ind w:left="3345" w:hanging="420"/>
      </w:pPr>
    </w:lvl>
    <w:lvl w:ilvl="6" w:tentative="0">
      <w:start w:val="1"/>
      <w:numFmt w:val="decimal"/>
      <w:lvlText w:val="%7."/>
      <w:lvlJc w:val="left"/>
      <w:pPr>
        <w:ind w:left="3765" w:hanging="420"/>
      </w:pPr>
    </w:lvl>
    <w:lvl w:ilvl="7" w:tentative="0">
      <w:start w:val="1"/>
      <w:numFmt w:val="lowerLetter"/>
      <w:lvlText w:val="%8)"/>
      <w:lvlJc w:val="left"/>
      <w:pPr>
        <w:ind w:left="4185" w:hanging="420"/>
      </w:pPr>
    </w:lvl>
    <w:lvl w:ilvl="8" w:tentative="0">
      <w:start w:val="1"/>
      <w:numFmt w:val="lowerRoman"/>
      <w:lvlText w:val="%9."/>
      <w:lvlJc w:val="right"/>
      <w:pPr>
        <w:ind w:left="4605" w:hanging="420"/>
      </w:pPr>
    </w:lvl>
  </w:abstractNum>
  <w:abstractNum w:abstractNumId="3">
    <w:nsid w:val="79E50641"/>
    <w:multiLevelType w:val="multilevel"/>
    <w:tmpl w:val="79E50641"/>
    <w:lvl w:ilvl="0" w:tentative="0">
      <w:start w:val="1"/>
      <w:numFmt w:val="japaneseCounting"/>
      <w:lvlText w:val="%1、"/>
      <w:lvlJc w:val="left"/>
      <w:pPr>
        <w:ind w:left="987"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zk4ZTRlMjA0ZDliMDM5MDYxNGViNmVhNzMxOWUyZTgifQ=="/>
  </w:docVars>
  <w:rsids>
    <w:rsidRoot w:val="00A12A00"/>
    <w:rsid w:val="00005AFD"/>
    <w:rsid w:val="00010A01"/>
    <w:rsid w:val="00021D06"/>
    <w:rsid w:val="0005667C"/>
    <w:rsid w:val="00065C15"/>
    <w:rsid w:val="00071665"/>
    <w:rsid w:val="00072FC1"/>
    <w:rsid w:val="000F2EE4"/>
    <w:rsid w:val="00124BCE"/>
    <w:rsid w:val="00170416"/>
    <w:rsid w:val="00197A4E"/>
    <w:rsid w:val="001A4D62"/>
    <w:rsid w:val="001E24AD"/>
    <w:rsid w:val="001F239D"/>
    <w:rsid w:val="00242E9B"/>
    <w:rsid w:val="00251CE0"/>
    <w:rsid w:val="00251F84"/>
    <w:rsid w:val="002E0B3B"/>
    <w:rsid w:val="002F1115"/>
    <w:rsid w:val="002F3222"/>
    <w:rsid w:val="00357E92"/>
    <w:rsid w:val="00380C14"/>
    <w:rsid w:val="003B5F35"/>
    <w:rsid w:val="004176EB"/>
    <w:rsid w:val="004763A7"/>
    <w:rsid w:val="00482664"/>
    <w:rsid w:val="004C1015"/>
    <w:rsid w:val="00567D16"/>
    <w:rsid w:val="00572D27"/>
    <w:rsid w:val="00576DB1"/>
    <w:rsid w:val="0059597A"/>
    <w:rsid w:val="005C384D"/>
    <w:rsid w:val="005F0428"/>
    <w:rsid w:val="00622E82"/>
    <w:rsid w:val="006954BF"/>
    <w:rsid w:val="00722D32"/>
    <w:rsid w:val="00740031"/>
    <w:rsid w:val="00745992"/>
    <w:rsid w:val="00746DAF"/>
    <w:rsid w:val="007663EF"/>
    <w:rsid w:val="00770198"/>
    <w:rsid w:val="007B276D"/>
    <w:rsid w:val="007D3846"/>
    <w:rsid w:val="00806CC6"/>
    <w:rsid w:val="00815C4B"/>
    <w:rsid w:val="0089282A"/>
    <w:rsid w:val="008B501D"/>
    <w:rsid w:val="00942596"/>
    <w:rsid w:val="00971A2E"/>
    <w:rsid w:val="009A3FBB"/>
    <w:rsid w:val="009C3948"/>
    <w:rsid w:val="009E4C36"/>
    <w:rsid w:val="00A12A00"/>
    <w:rsid w:val="00A26DC8"/>
    <w:rsid w:val="00A31D89"/>
    <w:rsid w:val="00A35B84"/>
    <w:rsid w:val="00A3789D"/>
    <w:rsid w:val="00A64FF7"/>
    <w:rsid w:val="00A73987"/>
    <w:rsid w:val="00A752E3"/>
    <w:rsid w:val="00AE2415"/>
    <w:rsid w:val="00AE2F02"/>
    <w:rsid w:val="00AF32ED"/>
    <w:rsid w:val="00B03AD0"/>
    <w:rsid w:val="00B2091C"/>
    <w:rsid w:val="00B27940"/>
    <w:rsid w:val="00B36C0B"/>
    <w:rsid w:val="00B62C43"/>
    <w:rsid w:val="00B74A8E"/>
    <w:rsid w:val="00C37526"/>
    <w:rsid w:val="00C61D37"/>
    <w:rsid w:val="00CB2087"/>
    <w:rsid w:val="00CC2C0E"/>
    <w:rsid w:val="00CE6FE2"/>
    <w:rsid w:val="00CF7FF2"/>
    <w:rsid w:val="00D463CF"/>
    <w:rsid w:val="00D54CC0"/>
    <w:rsid w:val="00DA2F9D"/>
    <w:rsid w:val="00DA5EFE"/>
    <w:rsid w:val="00DB4298"/>
    <w:rsid w:val="00DC6B72"/>
    <w:rsid w:val="00DF38C6"/>
    <w:rsid w:val="00E168F9"/>
    <w:rsid w:val="00E20B1E"/>
    <w:rsid w:val="00E343EE"/>
    <w:rsid w:val="00E53AE6"/>
    <w:rsid w:val="00E80370"/>
    <w:rsid w:val="00EA359C"/>
    <w:rsid w:val="00EB321B"/>
    <w:rsid w:val="00ED0CE4"/>
    <w:rsid w:val="00F30AB2"/>
    <w:rsid w:val="00F51569"/>
    <w:rsid w:val="00FD1DC5"/>
    <w:rsid w:val="00FF36E7"/>
    <w:rsid w:val="01640BD1"/>
    <w:rsid w:val="01757692"/>
    <w:rsid w:val="018E6F43"/>
    <w:rsid w:val="01EC1B1D"/>
    <w:rsid w:val="034968DF"/>
    <w:rsid w:val="03D7309C"/>
    <w:rsid w:val="03F014FB"/>
    <w:rsid w:val="03F248D4"/>
    <w:rsid w:val="04702B56"/>
    <w:rsid w:val="05AE6735"/>
    <w:rsid w:val="07C71E05"/>
    <w:rsid w:val="08DF02AB"/>
    <w:rsid w:val="09371E95"/>
    <w:rsid w:val="09815806"/>
    <w:rsid w:val="09B259BF"/>
    <w:rsid w:val="0A187F18"/>
    <w:rsid w:val="0A450E4E"/>
    <w:rsid w:val="0A7F599D"/>
    <w:rsid w:val="0B4115AF"/>
    <w:rsid w:val="0C633590"/>
    <w:rsid w:val="0C7C5D37"/>
    <w:rsid w:val="0D0F40E1"/>
    <w:rsid w:val="0D314E4D"/>
    <w:rsid w:val="0E0E4A27"/>
    <w:rsid w:val="0E235FAD"/>
    <w:rsid w:val="0E933B6E"/>
    <w:rsid w:val="0F4C4086"/>
    <w:rsid w:val="10D9450A"/>
    <w:rsid w:val="11160F29"/>
    <w:rsid w:val="112B3A0C"/>
    <w:rsid w:val="117169F8"/>
    <w:rsid w:val="11DF6BD5"/>
    <w:rsid w:val="12C62CA4"/>
    <w:rsid w:val="14900FF3"/>
    <w:rsid w:val="15DA5399"/>
    <w:rsid w:val="168626AD"/>
    <w:rsid w:val="187E3884"/>
    <w:rsid w:val="18C15C1F"/>
    <w:rsid w:val="18F97B94"/>
    <w:rsid w:val="191A0446"/>
    <w:rsid w:val="1B4A363A"/>
    <w:rsid w:val="1BC526EF"/>
    <w:rsid w:val="1C1425F4"/>
    <w:rsid w:val="1C556DAA"/>
    <w:rsid w:val="1C882350"/>
    <w:rsid w:val="1CDC1A5B"/>
    <w:rsid w:val="1D703D1D"/>
    <w:rsid w:val="1F451F7A"/>
    <w:rsid w:val="1F572E39"/>
    <w:rsid w:val="20020FF7"/>
    <w:rsid w:val="20337402"/>
    <w:rsid w:val="20EF71F1"/>
    <w:rsid w:val="21FE2E7E"/>
    <w:rsid w:val="225E44DE"/>
    <w:rsid w:val="2323212D"/>
    <w:rsid w:val="23FA4ECF"/>
    <w:rsid w:val="2527010D"/>
    <w:rsid w:val="255B2F57"/>
    <w:rsid w:val="26215F4F"/>
    <w:rsid w:val="26C12A90"/>
    <w:rsid w:val="26DC2BFA"/>
    <w:rsid w:val="27063D31"/>
    <w:rsid w:val="274F135C"/>
    <w:rsid w:val="27742DDB"/>
    <w:rsid w:val="27747EDE"/>
    <w:rsid w:val="277B13CF"/>
    <w:rsid w:val="285B5D80"/>
    <w:rsid w:val="28753BF0"/>
    <w:rsid w:val="28AA47B7"/>
    <w:rsid w:val="28CB641B"/>
    <w:rsid w:val="28F214DC"/>
    <w:rsid w:val="29207EE3"/>
    <w:rsid w:val="294855A0"/>
    <w:rsid w:val="2AC832F5"/>
    <w:rsid w:val="2CC15D95"/>
    <w:rsid w:val="2D742D12"/>
    <w:rsid w:val="2DF53F49"/>
    <w:rsid w:val="2E3342C6"/>
    <w:rsid w:val="328B4E7C"/>
    <w:rsid w:val="344D4C9B"/>
    <w:rsid w:val="35887450"/>
    <w:rsid w:val="36273D08"/>
    <w:rsid w:val="368F70D3"/>
    <w:rsid w:val="37361A0B"/>
    <w:rsid w:val="37AF33BA"/>
    <w:rsid w:val="38253B59"/>
    <w:rsid w:val="385B501F"/>
    <w:rsid w:val="3862667F"/>
    <w:rsid w:val="38DE30B8"/>
    <w:rsid w:val="39284901"/>
    <w:rsid w:val="39AB5825"/>
    <w:rsid w:val="3A482539"/>
    <w:rsid w:val="3A5169AB"/>
    <w:rsid w:val="3A915046"/>
    <w:rsid w:val="3B871F58"/>
    <w:rsid w:val="3C4C15D1"/>
    <w:rsid w:val="3CE440CF"/>
    <w:rsid w:val="3CEA5A8A"/>
    <w:rsid w:val="3D897F97"/>
    <w:rsid w:val="3DA7578C"/>
    <w:rsid w:val="3E0C2BE9"/>
    <w:rsid w:val="3ED656D0"/>
    <w:rsid w:val="3F597259"/>
    <w:rsid w:val="3F6B774D"/>
    <w:rsid w:val="40095632"/>
    <w:rsid w:val="430260DD"/>
    <w:rsid w:val="43C53F65"/>
    <w:rsid w:val="442476FC"/>
    <w:rsid w:val="46345885"/>
    <w:rsid w:val="46A61E2C"/>
    <w:rsid w:val="46B15537"/>
    <w:rsid w:val="46C17DAD"/>
    <w:rsid w:val="46F64D5D"/>
    <w:rsid w:val="48541414"/>
    <w:rsid w:val="49B341B6"/>
    <w:rsid w:val="49B81F53"/>
    <w:rsid w:val="4AAC7860"/>
    <w:rsid w:val="4C4A325A"/>
    <w:rsid w:val="4CDB40F9"/>
    <w:rsid w:val="4CFE5DF2"/>
    <w:rsid w:val="4D0265B8"/>
    <w:rsid w:val="4D8021B9"/>
    <w:rsid w:val="4DFF6777"/>
    <w:rsid w:val="4EB752BA"/>
    <w:rsid w:val="4EC866B8"/>
    <w:rsid w:val="4ED6365B"/>
    <w:rsid w:val="4F735000"/>
    <w:rsid w:val="50041643"/>
    <w:rsid w:val="50F75E7E"/>
    <w:rsid w:val="51436F0F"/>
    <w:rsid w:val="51BB428B"/>
    <w:rsid w:val="52DF1D28"/>
    <w:rsid w:val="53A4083B"/>
    <w:rsid w:val="54183C3E"/>
    <w:rsid w:val="54923E8D"/>
    <w:rsid w:val="54941844"/>
    <w:rsid w:val="54F2623D"/>
    <w:rsid w:val="5538455E"/>
    <w:rsid w:val="55D10548"/>
    <w:rsid w:val="566F21D7"/>
    <w:rsid w:val="567F658B"/>
    <w:rsid w:val="56927CD7"/>
    <w:rsid w:val="56A94595"/>
    <w:rsid w:val="580A299B"/>
    <w:rsid w:val="59722042"/>
    <w:rsid w:val="5A2E7D17"/>
    <w:rsid w:val="5A9F29C3"/>
    <w:rsid w:val="5B5D76B7"/>
    <w:rsid w:val="5B8E44C5"/>
    <w:rsid w:val="5C982767"/>
    <w:rsid w:val="5CD80EBE"/>
    <w:rsid w:val="5CFA751D"/>
    <w:rsid w:val="5D580A8A"/>
    <w:rsid w:val="5D663C6C"/>
    <w:rsid w:val="5DB8541C"/>
    <w:rsid w:val="5E221344"/>
    <w:rsid w:val="5E32788E"/>
    <w:rsid w:val="5E6973CD"/>
    <w:rsid w:val="5EDA66BF"/>
    <w:rsid w:val="5EFA0B0F"/>
    <w:rsid w:val="5FB128C2"/>
    <w:rsid w:val="60591866"/>
    <w:rsid w:val="60731B65"/>
    <w:rsid w:val="60D72763"/>
    <w:rsid w:val="612759CA"/>
    <w:rsid w:val="61477910"/>
    <w:rsid w:val="61525EF8"/>
    <w:rsid w:val="615F5A3C"/>
    <w:rsid w:val="62B666A5"/>
    <w:rsid w:val="62E15FE9"/>
    <w:rsid w:val="6324615B"/>
    <w:rsid w:val="65255B39"/>
    <w:rsid w:val="657D7DA4"/>
    <w:rsid w:val="659C7B1A"/>
    <w:rsid w:val="65DF0A5F"/>
    <w:rsid w:val="65E847CC"/>
    <w:rsid w:val="67286561"/>
    <w:rsid w:val="691F508E"/>
    <w:rsid w:val="6A340295"/>
    <w:rsid w:val="6A5666B8"/>
    <w:rsid w:val="6C626D3D"/>
    <w:rsid w:val="6C9C4FB4"/>
    <w:rsid w:val="6DF0400D"/>
    <w:rsid w:val="6E041BA0"/>
    <w:rsid w:val="6E5B22F8"/>
    <w:rsid w:val="6F6A75EB"/>
    <w:rsid w:val="70090BB2"/>
    <w:rsid w:val="700E2DC7"/>
    <w:rsid w:val="70422316"/>
    <w:rsid w:val="70EF2762"/>
    <w:rsid w:val="71201EF9"/>
    <w:rsid w:val="716F5053"/>
    <w:rsid w:val="718F158B"/>
    <w:rsid w:val="724A7260"/>
    <w:rsid w:val="729E55FD"/>
    <w:rsid w:val="73D62900"/>
    <w:rsid w:val="73FA7C77"/>
    <w:rsid w:val="744F0BEE"/>
    <w:rsid w:val="746E51AC"/>
    <w:rsid w:val="74A55A8E"/>
    <w:rsid w:val="7539654A"/>
    <w:rsid w:val="75836739"/>
    <w:rsid w:val="75D73501"/>
    <w:rsid w:val="76C753DE"/>
    <w:rsid w:val="76C775D8"/>
    <w:rsid w:val="76F105F2"/>
    <w:rsid w:val="77FC6956"/>
    <w:rsid w:val="7A64282A"/>
    <w:rsid w:val="7A8D6ADA"/>
    <w:rsid w:val="7AE2097E"/>
    <w:rsid w:val="7BB0282A"/>
    <w:rsid w:val="7D4A280A"/>
    <w:rsid w:val="7DB366E4"/>
    <w:rsid w:val="7E3B2C6B"/>
    <w:rsid w:val="7E492DA2"/>
    <w:rsid w:val="7E6E62E2"/>
    <w:rsid w:val="7E8104AE"/>
    <w:rsid w:val="7E847804"/>
    <w:rsid w:val="7F690CDA"/>
    <w:rsid w:val="7F7C6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semiHidden/>
    <w:qFormat/>
    <w:uiPriority w:val="99"/>
    <w:rPr>
      <w:sz w:val="18"/>
      <w:szCs w:val="18"/>
    </w:rPr>
  </w:style>
  <w:style w:type="character" w:customStyle="1" w:styleId="7">
    <w:name w:val="页脚 字符"/>
    <w:basedOn w:val="5"/>
    <w:link w:val="2"/>
    <w:semiHidden/>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w:qFormat/>
    <w:uiPriority w:val="0"/>
    <w:pPr>
      <w:widowControl w:val="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10</Pages>
  <Words>2661</Words>
  <Characters>2918</Characters>
  <Lines>22</Lines>
  <Paragraphs>6</Paragraphs>
  <TotalTime>0</TotalTime>
  <ScaleCrop>false</ScaleCrop>
  <LinksUpToDate>false</LinksUpToDate>
  <CharactersWithSpaces>2982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2018-01-03T01:07:00Z</dcterms:created>
  <dc:creator>lenovo</dc:creator>
  <cp:lastModifiedBy>王子健</cp:lastModifiedBy>
  <dcterms:modified xsi:type="dcterms:W3CDTF">2025-04-07T02:02:51Z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015E53AB75C04A42A540DA5266089B66</vt:lpwstr>
  </property>
  <property fmtid="{D5CDD505-2E9C-101B-9397-08002B2CF9AE}" pid="4" name="KSOTemplateDocerSaveRecord">
    <vt:lpwstr>eyJoZGlkIjoiMzE3ZWQ3ZmFlODMzNjNlYzI0YjhmMDNkNzk5NTMwYzIiLCJ1c2VySWQiOiIzNTgzNTcxNzMifQ==</vt:lpwstr>
  </property>
</Properties>
</file>