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4491B704">
      <w:pPr>
        <w:jc w:val="center"/>
        <w:rPr>
          <w:rFonts w:hint="eastAsia" w:ascii="黑体" w:hAnsi="黑体" w:eastAsia="黑体"/>
          <w:sz w:val="52"/>
          <w:szCs w:val="52"/>
          <w:lang w:eastAsia="zh-CN"/>
        </w:rPr>
      </w:pPr>
      <w:r>
        <w:rPr>
          <w:rFonts w:hint="eastAsia" w:ascii="黑体" w:hAnsi="黑体" w:eastAsia="黑体"/>
          <w:sz w:val="52"/>
          <w:szCs w:val="52"/>
          <w:lang w:eastAsia="zh-CN"/>
        </w:rPr>
        <w:t>永吉县万昌镇综合服务中心</w:t>
      </w:r>
    </w:p>
    <w:p w14:paraId="0050A5F4">
      <w:pPr>
        <w:jc w:val="center"/>
        <w:rPr>
          <w:rFonts w:ascii="黑体" w:hAnsi="黑体" w:eastAsia="黑体"/>
          <w:sz w:val="52"/>
          <w:szCs w:val="52"/>
        </w:rPr>
      </w:pPr>
      <w:r>
        <w:rPr>
          <w:rFonts w:hint="eastAsia" w:ascii="黑体" w:hAnsi="黑体" w:eastAsia="黑体"/>
          <w:sz w:val="52"/>
          <w:szCs w:val="52"/>
          <w:lang w:val="en-US" w:eastAsia="zh-CN"/>
        </w:rPr>
        <w:t xml:space="preserve"> </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7CDF0C5D">
      <w:pPr>
        <w:jc w:val="center"/>
        <w:rPr>
          <w:rFonts w:hint="eastAsia" w:ascii="黑体" w:hAnsi="黑体" w:eastAsia="黑体"/>
          <w:sz w:val="44"/>
          <w:szCs w:val="44"/>
          <w:highlight w:val="none"/>
        </w:rPr>
      </w:pPr>
      <w:r>
        <w:rPr>
          <w:rFonts w:hint="eastAsia" w:ascii="黑体" w:hAnsi="黑体" w:eastAsia="黑体"/>
          <w:sz w:val="44"/>
          <w:szCs w:val="44"/>
          <w:highlight w:val="none"/>
          <w:lang w:eastAsia="zh-CN"/>
        </w:rPr>
        <w:t>永吉县万昌镇综合服务中心</w:t>
      </w:r>
      <w:r>
        <w:rPr>
          <w:rFonts w:hint="eastAsia" w:ascii="黑体" w:hAnsi="黑体" w:eastAsia="黑体"/>
          <w:sz w:val="44"/>
          <w:szCs w:val="44"/>
          <w:highlight w:val="none"/>
        </w:rPr>
        <w:t>部门（单位）</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永吉县万昌镇综合服务中心</w:t>
      </w:r>
    </w:p>
    <w:p w14:paraId="09235EBC">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全额拨款公益一类事业单位</w:t>
      </w:r>
    </w:p>
    <w:p w14:paraId="1BF4DB19">
      <w:pPr>
        <w:pStyle w:val="10"/>
        <w:widowControl/>
        <w:spacing w:line="620" w:lineRule="exact"/>
        <w:ind w:firstLine="627" w:firstLineChars="196"/>
        <w:contextualSpacing/>
        <w:rPr>
          <w:rFonts w:hint="default" w:ascii="仿宋" w:hAnsi="仿宋" w:eastAsia="仿宋"/>
          <w:bCs/>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bCs/>
          <w:kern w:val="0"/>
          <w:sz w:val="32"/>
          <w:szCs w:val="32"/>
          <w:lang w:eastAsia="zh-CN"/>
        </w:rPr>
        <w:t>承担农业（畜牧业）、自然资源、林业（草原）、水利、文化、体育、劳动和社会保障、卫生健康、退役军人保障等服务工作。</w:t>
      </w:r>
    </w:p>
    <w:p w14:paraId="5757AED3">
      <w:pPr>
        <w:pStyle w:val="10"/>
        <w:widowControl/>
        <w:spacing w:line="620" w:lineRule="exact"/>
        <w:ind w:firstLine="640" w:firstLineChars="200"/>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eastAsia="zh-CN"/>
        </w:rPr>
        <w:t>为相关工作提供技术支持和服务保障，落实各项优惠利民政策，开展相关活动。</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7DB1BE1">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eastAsia="zh-CN"/>
        </w:rPr>
        <w:t>党务综合科、人力资源社会保障事务所，退役军人服务站、农村经济管理服务站、农机管理站、农业技术推广站、畜牧兽医站、自然资源所、林业站、水利站、文化站（广播站）、人口和计划生育服务站。</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59</w:t>
      </w:r>
      <w:r>
        <w:rPr>
          <w:rFonts w:hint="eastAsia" w:ascii="仿宋" w:hAnsi="仿宋" w:eastAsia="仿宋"/>
          <w:kern w:val="0"/>
          <w:szCs w:val="32"/>
        </w:rPr>
        <w:t>人，编制数</w:t>
      </w:r>
      <w:r>
        <w:rPr>
          <w:rFonts w:hint="eastAsia" w:ascii="仿宋" w:hAnsi="仿宋" w:eastAsia="仿宋"/>
          <w:kern w:val="0"/>
          <w:szCs w:val="32"/>
          <w:lang w:val="en-US" w:eastAsia="zh-CN"/>
        </w:rPr>
        <w:t>64</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04C34902">
      <w:pPr>
        <w:ind w:firstLine="2240" w:firstLineChars="700"/>
        <w:jc w:val="both"/>
        <w:rPr>
          <w:rFonts w:hint="eastAsia" w:ascii="黑体" w:hAnsi="黑体" w:eastAsia="黑体"/>
          <w:sz w:val="32"/>
          <w:szCs w:val="32"/>
        </w:rPr>
      </w:pPr>
    </w:p>
    <w:p w14:paraId="653D2C6B">
      <w:pPr>
        <w:ind w:firstLine="2240" w:firstLineChars="7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hint="eastAsia" w:ascii="仿宋" w:hAnsi="仿宋" w:eastAsia="仿宋"/>
          <w:sz w:val="32"/>
          <w:szCs w:val="32"/>
          <w:lang w:eastAsia="zh-CN"/>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785.53</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547.69</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237.84</w:t>
      </w:r>
      <w:r>
        <w:rPr>
          <w:rFonts w:hint="eastAsia" w:ascii="仿宋" w:hAnsi="仿宋" w:eastAsia="仿宋"/>
          <w:sz w:val="32"/>
          <w:szCs w:val="32"/>
        </w:rPr>
        <w:t>万元，主要原因：</w:t>
      </w:r>
      <w:r>
        <w:rPr>
          <w:rFonts w:hint="eastAsia" w:ascii="仿宋" w:hAnsi="仿宋" w:eastAsia="仿宋"/>
          <w:sz w:val="32"/>
          <w:szCs w:val="32"/>
          <w:lang w:eastAsia="zh-CN"/>
        </w:rPr>
        <w:t>新招录人员增加，人员相关工资性支出增加。</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785.53</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785.53</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785.53</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628.48</w:t>
      </w:r>
      <w:r>
        <w:rPr>
          <w:rFonts w:hint="eastAsia" w:ascii="仿宋" w:hAnsi="仿宋" w:eastAsia="仿宋"/>
          <w:sz w:val="32"/>
          <w:szCs w:val="32"/>
        </w:rPr>
        <w:t>万元，占</w:t>
      </w:r>
      <w:r>
        <w:rPr>
          <w:rFonts w:hint="eastAsia" w:ascii="仿宋" w:hAnsi="仿宋" w:eastAsia="仿宋"/>
          <w:sz w:val="32"/>
          <w:szCs w:val="32"/>
          <w:lang w:val="en-US" w:eastAsia="zh-CN"/>
        </w:rPr>
        <w:t>80.01</w:t>
      </w:r>
      <w:r>
        <w:rPr>
          <w:rFonts w:hint="eastAsia" w:ascii="仿宋" w:hAnsi="仿宋" w:eastAsia="仿宋"/>
          <w:sz w:val="32"/>
          <w:szCs w:val="32"/>
        </w:rPr>
        <w:t xml:space="preserve">%；项目支出 </w:t>
      </w:r>
      <w:r>
        <w:rPr>
          <w:rFonts w:hint="eastAsia" w:ascii="仿宋" w:hAnsi="仿宋" w:eastAsia="仿宋"/>
          <w:sz w:val="32"/>
          <w:szCs w:val="32"/>
          <w:lang w:val="en-US" w:eastAsia="zh-CN"/>
        </w:rPr>
        <w:t>157.05</w:t>
      </w:r>
      <w:r>
        <w:rPr>
          <w:rFonts w:hint="eastAsia" w:ascii="仿宋" w:hAnsi="仿宋" w:eastAsia="仿宋"/>
          <w:sz w:val="32"/>
          <w:szCs w:val="32"/>
        </w:rPr>
        <w:t xml:space="preserve"> 万元，占</w:t>
      </w:r>
      <w:r>
        <w:rPr>
          <w:rFonts w:hint="eastAsia" w:ascii="仿宋" w:hAnsi="仿宋" w:eastAsia="仿宋"/>
          <w:sz w:val="32"/>
          <w:szCs w:val="32"/>
          <w:lang w:val="en-US" w:eastAsia="zh-CN"/>
        </w:rPr>
        <w:t>19.99</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785.53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785.53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785.53</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675.43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62.35</w:t>
      </w:r>
      <w:r>
        <w:rPr>
          <w:rFonts w:hint="eastAsia" w:ascii="仿宋" w:hAnsi="仿宋" w:eastAsia="仿宋"/>
          <w:sz w:val="32"/>
          <w:szCs w:val="32"/>
        </w:rPr>
        <w:t>万元，住房保障支出</w:t>
      </w:r>
      <w:r>
        <w:rPr>
          <w:rFonts w:hint="eastAsia" w:ascii="仿宋" w:hAnsi="仿宋" w:eastAsia="仿宋"/>
          <w:sz w:val="32"/>
          <w:szCs w:val="32"/>
          <w:lang w:val="en-US" w:eastAsia="zh-CN"/>
        </w:rPr>
        <w:t>47.75</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785.53</w:t>
      </w:r>
      <w:r>
        <w:rPr>
          <w:rFonts w:hint="eastAsia" w:ascii="仿宋" w:hAnsi="仿宋" w:eastAsia="仿宋"/>
          <w:sz w:val="32"/>
          <w:szCs w:val="32"/>
        </w:rPr>
        <w:t>万元，其中：基本支出</w:t>
      </w:r>
      <w:r>
        <w:rPr>
          <w:rFonts w:hint="eastAsia" w:ascii="仿宋" w:hAnsi="仿宋" w:eastAsia="仿宋"/>
          <w:sz w:val="32"/>
          <w:szCs w:val="32"/>
          <w:lang w:val="en-US" w:eastAsia="zh-CN"/>
        </w:rPr>
        <w:t>628.48</w:t>
      </w:r>
      <w:r>
        <w:rPr>
          <w:rFonts w:hint="eastAsia" w:ascii="仿宋" w:hAnsi="仿宋" w:eastAsia="仿宋"/>
          <w:sz w:val="32"/>
          <w:szCs w:val="32"/>
        </w:rPr>
        <w:t>万元，占</w:t>
      </w:r>
      <w:r>
        <w:rPr>
          <w:rFonts w:hint="eastAsia" w:ascii="仿宋" w:hAnsi="仿宋" w:eastAsia="仿宋"/>
          <w:sz w:val="32"/>
          <w:szCs w:val="32"/>
          <w:lang w:val="en-US" w:eastAsia="zh-CN"/>
        </w:rPr>
        <w:t>80.01</w:t>
      </w:r>
      <w:r>
        <w:rPr>
          <w:rFonts w:hint="eastAsia" w:ascii="仿宋" w:hAnsi="仿宋" w:eastAsia="仿宋"/>
          <w:sz w:val="32"/>
          <w:szCs w:val="32"/>
        </w:rPr>
        <w:t>%；项目支出</w:t>
      </w:r>
      <w:r>
        <w:rPr>
          <w:rFonts w:hint="eastAsia" w:ascii="仿宋" w:hAnsi="仿宋" w:eastAsia="仿宋"/>
          <w:sz w:val="32"/>
          <w:szCs w:val="32"/>
          <w:lang w:val="en-US" w:eastAsia="zh-CN"/>
        </w:rPr>
        <w:t>157.05</w:t>
      </w:r>
      <w:r>
        <w:rPr>
          <w:rFonts w:hint="eastAsia" w:ascii="仿宋" w:hAnsi="仿宋" w:eastAsia="仿宋"/>
          <w:sz w:val="32"/>
          <w:szCs w:val="32"/>
        </w:rPr>
        <w:t>万元，占</w:t>
      </w:r>
      <w:r>
        <w:rPr>
          <w:rFonts w:hint="eastAsia" w:ascii="仿宋" w:hAnsi="仿宋" w:eastAsia="仿宋"/>
          <w:sz w:val="32"/>
          <w:szCs w:val="32"/>
          <w:lang w:val="en-US" w:eastAsia="zh-CN"/>
        </w:rPr>
        <w:t>19.99</w:t>
      </w:r>
      <w:r>
        <w:rPr>
          <w:rFonts w:hint="eastAsia" w:ascii="仿宋" w:hAnsi="仿宋" w:eastAsia="仿宋"/>
          <w:sz w:val="32"/>
          <w:szCs w:val="32"/>
        </w:rPr>
        <w:t>%。基本支出中，人员经费</w:t>
      </w:r>
      <w:r>
        <w:rPr>
          <w:rFonts w:hint="eastAsia" w:ascii="仿宋" w:hAnsi="仿宋" w:eastAsia="仿宋"/>
          <w:sz w:val="32"/>
          <w:szCs w:val="32"/>
          <w:lang w:val="en-US" w:eastAsia="zh-CN"/>
        </w:rPr>
        <w:t>590.05</w:t>
      </w:r>
      <w:r>
        <w:rPr>
          <w:rFonts w:hint="eastAsia" w:ascii="仿宋" w:hAnsi="仿宋" w:eastAsia="仿宋"/>
          <w:sz w:val="32"/>
          <w:szCs w:val="32"/>
        </w:rPr>
        <w:t>万元，占</w:t>
      </w:r>
      <w:r>
        <w:rPr>
          <w:rFonts w:hint="eastAsia" w:ascii="仿宋" w:hAnsi="仿宋" w:eastAsia="仿宋"/>
          <w:sz w:val="32"/>
          <w:szCs w:val="32"/>
          <w:lang w:val="en-US" w:eastAsia="zh-CN"/>
        </w:rPr>
        <w:t>93.89</w:t>
      </w:r>
      <w:r>
        <w:rPr>
          <w:rFonts w:hint="eastAsia" w:ascii="仿宋" w:hAnsi="仿宋" w:eastAsia="仿宋"/>
          <w:sz w:val="32"/>
          <w:szCs w:val="32"/>
        </w:rPr>
        <w:t>%；公用经费</w:t>
      </w:r>
      <w:r>
        <w:rPr>
          <w:rFonts w:hint="eastAsia" w:ascii="仿宋" w:hAnsi="仿宋" w:eastAsia="仿宋"/>
          <w:sz w:val="32"/>
          <w:szCs w:val="32"/>
          <w:lang w:val="en-US" w:eastAsia="zh-CN"/>
        </w:rPr>
        <w:t>38.43</w:t>
      </w:r>
      <w:r>
        <w:rPr>
          <w:rFonts w:hint="eastAsia" w:ascii="仿宋" w:hAnsi="仿宋" w:eastAsia="仿宋"/>
          <w:sz w:val="32"/>
          <w:szCs w:val="32"/>
        </w:rPr>
        <w:t>万元，占</w:t>
      </w:r>
      <w:r>
        <w:rPr>
          <w:rFonts w:hint="eastAsia" w:ascii="仿宋" w:hAnsi="仿宋" w:eastAsia="仿宋"/>
          <w:sz w:val="32"/>
          <w:szCs w:val="32"/>
          <w:lang w:val="en-US" w:eastAsia="zh-CN"/>
        </w:rPr>
        <w:t>6.11</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675.43</w:t>
      </w:r>
      <w:r>
        <w:rPr>
          <w:rFonts w:hint="eastAsia" w:ascii="仿宋" w:hAnsi="仿宋" w:eastAsia="仿宋"/>
          <w:sz w:val="32"/>
          <w:szCs w:val="32"/>
        </w:rPr>
        <w:t xml:space="preserve"> 万元，占</w:t>
      </w:r>
      <w:r>
        <w:rPr>
          <w:rFonts w:hint="eastAsia" w:ascii="仿宋" w:hAnsi="仿宋" w:eastAsia="仿宋"/>
          <w:sz w:val="32"/>
          <w:szCs w:val="32"/>
          <w:lang w:val="en-US" w:eastAsia="zh-CN"/>
        </w:rPr>
        <w:t>85.98</w:t>
      </w:r>
      <w:r>
        <w:rPr>
          <w:rFonts w:hint="eastAsia" w:ascii="仿宋" w:hAnsi="仿宋" w:eastAsia="仿宋"/>
          <w:sz w:val="32"/>
          <w:szCs w:val="32"/>
        </w:rPr>
        <w:t>%，主要用于：</w:t>
      </w:r>
      <w:r>
        <w:rPr>
          <w:rFonts w:hint="eastAsia" w:ascii="仿宋" w:hAnsi="仿宋" w:eastAsia="仿宋"/>
          <w:sz w:val="32"/>
          <w:szCs w:val="32"/>
          <w:lang w:eastAsia="zh-CN"/>
        </w:rPr>
        <w:t>支付单位人员工资及五险一金支出，及相关公用经费支出。</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62.35</w:t>
      </w:r>
      <w:r>
        <w:rPr>
          <w:rFonts w:hint="eastAsia" w:ascii="仿宋" w:hAnsi="仿宋" w:eastAsia="仿宋"/>
          <w:sz w:val="32"/>
          <w:szCs w:val="32"/>
        </w:rPr>
        <w:t xml:space="preserve"> 万元，占</w:t>
      </w:r>
      <w:r>
        <w:rPr>
          <w:rFonts w:hint="eastAsia" w:ascii="仿宋" w:hAnsi="仿宋" w:eastAsia="仿宋"/>
          <w:sz w:val="32"/>
          <w:szCs w:val="32"/>
          <w:lang w:val="en-US" w:eastAsia="zh-CN"/>
        </w:rPr>
        <w:t>7.94</w:t>
      </w:r>
      <w:r>
        <w:rPr>
          <w:rFonts w:hint="eastAsia" w:ascii="仿宋" w:hAnsi="仿宋" w:eastAsia="仿宋"/>
          <w:sz w:val="32"/>
          <w:szCs w:val="32"/>
        </w:rPr>
        <w:t>%，占主要用于：</w:t>
      </w:r>
      <w:r>
        <w:rPr>
          <w:rFonts w:hint="eastAsia" w:ascii="仿宋" w:hAnsi="仿宋" w:eastAsia="仿宋"/>
          <w:sz w:val="32"/>
          <w:szCs w:val="32"/>
          <w:lang w:eastAsia="zh-CN"/>
        </w:rPr>
        <w:t>支付单位人员养老保险单位承担部分</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47.75</w:t>
      </w:r>
      <w:r>
        <w:rPr>
          <w:rFonts w:hint="eastAsia" w:ascii="仿宋" w:hAnsi="仿宋" w:eastAsia="仿宋"/>
          <w:sz w:val="32"/>
          <w:szCs w:val="32"/>
        </w:rPr>
        <w:t>万元，占</w:t>
      </w:r>
      <w:r>
        <w:rPr>
          <w:rFonts w:hint="eastAsia" w:ascii="仿宋" w:hAnsi="仿宋" w:eastAsia="仿宋"/>
          <w:sz w:val="32"/>
          <w:szCs w:val="32"/>
          <w:lang w:val="en-US" w:eastAsia="zh-CN"/>
        </w:rPr>
        <w:t>6.08</w:t>
      </w:r>
      <w:r>
        <w:rPr>
          <w:rFonts w:hint="eastAsia" w:ascii="仿宋" w:hAnsi="仿宋" w:eastAsia="仿宋"/>
          <w:sz w:val="32"/>
          <w:szCs w:val="32"/>
        </w:rPr>
        <w:t>%，主要用于：</w:t>
      </w:r>
      <w:r>
        <w:rPr>
          <w:rFonts w:hint="eastAsia" w:ascii="仿宋" w:hAnsi="仿宋" w:eastAsia="仿宋"/>
          <w:sz w:val="32"/>
          <w:szCs w:val="32"/>
          <w:lang w:eastAsia="zh-CN"/>
        </w:rPr>
        <w:t>支付单位人员住房公积金单位承担部分。</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785.53.</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747.1</w:t>
      </w:r>
      <w:r>
        <w:rPr>
          <w:rFonts w:hint="eastAsia" w:ascii="仿宋" w:hAnsi="仿宋" w:eastAsia="仿宋"/>
          <w:sz w:val="32"/>
          <w:szCs w:val="32"/>
        </w:rPr>
        <w:t>万元，主要</w:t>
      </w:r>
      <w:bookmarkStart w:id="0" w:name="_GoBack"/>
      <w:bookmarkEnd w:id="0"/>
      <w:r>
        <w:rPr>
          <w:rFonts w:hint="eastAsia" w:ascii="仿宋" w:hAnsi="仿宋" w:eastAsia="仿宋"/>
          <w:sz w:val="32"/>
          <w:szCs w:val="32"/>
        </w:rPr>
        <w:t>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38.43</w:t>
      </w:r>
      <w:r>
        <w:rPr>
          <w:rFonts w:hint="eastAsia" w:ascii="仿宋" w:hAnsi="仿宋" w:eastAsia="仿宋"/>
          <w:sz w:val="32"/>
          <w:szCs w:val="32"/>
        </w:rPr>
        <w:t>万元，主要包括：办公费、印刷费、水费、电费、邮电费、取暖费、差旅费、工会经费、公务用车运行维护费等。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2.5</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0.5</w:t>
      </w:r>
      <w:r>
        <w:rPr>
          <w:rFonts w:hint="eastAsia" w:ascii="仿宋" w:hAnsi="仿宋" w:eastAsia="仿宋"/>
          <w:kern w:val="0"/>
          <w:sz w:val="32"/>
          <w:szCs w:val="32"/>
        </w:rPr>
        <w:t xml:space="preserve"> 万元。其中：</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lang w:val="en-US" w:eastAsia="zh-CN"/>
        </w:rPr>
        <w:t>1</w:t>
      </w:r>
      <w:r>
        <w:rPr>
          <w:rFonts w:hint="eastAsia" w:ascii="仿宋" w:hAnsi="仿宋" w:eastAsia="仿宋"/>
          <w:kern w:val="0"/>
          <w:sz w:val="32"/>
          <w:szCs w:val="32"/>
        </w:rPr>
        <w:t xml:space="preserve">.公务用车购置及运行费 </w:t>
      </w:r>
      <w:r>
        <w:rPr>
          <w:rFonts w:hint="eastAsia" w:ascii="仿宋" w:hAnsi="仿宋" w:eastAsia="仿宋"/>
          <w:kern w:val="0"/>
          <w:sz w:val="32"/>
          <w:szCs w:val="32"/>
          <w:lang w:val="en-US" w:eastAsia="zh-CN"/>
        </w:rPr>
        <w:t>2.5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年预算数减少 </w:t>
      </w:r>
      <w:r>
        <w:rPr>
          <w:rFonts w:hint="eastAsia" w:ascii="仿宋" w:hAnsi="仿宋" w:eastAsia="仿宋"/>
          <w:kern w:val="0"/>
          <w:sz w:val="32"/>
          <w:szCs w:val="32"/>
          <w:lang w:val="en-US" w:eastAsia="zh-CN"/>
        </w:rPr>
        <w:t>0.5</w:t>
      </w:r>
      <w:r>
        <w:rPr>
          <w:rFonts w:hint="eastAsia" w:ascii="仿宋" w:hAnsi="仿宋" w:eastAsia="仿宋"/>
          <w:kern w:val="0"/>
          <w:sz w:val="32"/>
          <w:szCs w:val="32"/>
        </w:rPr>
        <w:t xml:space="preserve"> 万元。其中，公务用车运行维护费 </w:t>
      </w:r>
      <w:r>
        <w:rPr>
          <w:rFonts w:hint="eastAsia" w:ascii="仿宋" w:hAnsi="仿宋" w:eastAsia="仿宋"/>
          <w:kern w:val="0"/>
          <w:sz w:val="32"/>
          <w:szCs w:val="32"/>
          <w:lang w:val="en-US" w:eastAsia="zh-CN"/>
        </w:rPr>
        <w:t>2.5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0.5</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按照勤俭节约的原则</w:t>
      </w:r>
      <w:r>
        <w:rPr>
          <w:rFonts w:hint="eastAsia" w:ascii="仿宋" w:hAnsi="仿宋" w:eastAsia="仿宋"/>
          <w:kern w:val="0"/>
          <w:sz w:val="32"/>
          <w:szCs w:val="32"/>
        </w:rPr>
        <w:t>，</w:t>
      </w:r>
      <w:r>
        <w:rPr>
          <w:rFonts w:hint="eastAsia" w:ascii="仿宋" w:hAnsi="仿宋" w:eastAsia="仿宋"/>
          <w:kern w:val="0"/>
          <w:sz w:val="32"/>
          <w:szCs w:val="32"/>
          <w:lang w:eastAsia="zh-CN"/>
        </w:rPr>
        <w:t>减少支出户。</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66679F25">
      <w:pPr>
        <w:ind w:firstLine="640" w:firstLineChars="200"/>
        <w:jc w:val="left"/>
        <w:rPr>
          <w:rFonts w:hint="eastAsia" w:ascii="楷体" w:hAnsi="楷体" w:eastAsia="楷体"/>
          <w:sz w:val="32"/>
          <w:szCs w:val="32"/>
          <w:lang w:eastAsia="zh-CN"/>
        </w:rPr>
      </w:pPr>
      <w:r>
        <w:rPr>
          <w:rFonts w:hint="eastAsia" w:ascii="楷体" w:hAnsi="楷体" w:eastAsia="楷体"/>
          <w:sz w:val="32"/>
          <w:szCs w:val="32"/>
          <w:lang w:eastAsia="zh-CN"/>
        </w:rPr>
        <w:t>我单位为全额拨款公益一类事业单位，未列支机关运行经费。</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1</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r>
        <w:rPr>
          <w:rFonts w:hint="eastAsia" w:ascii="仿宋" w:hAnsi="仿宋" w:eastAsia="仿宋"/>
          <w:sz w:val="32"/>
          <w:szCs w:val="32"/>
          <w:lang w:val="en-US" w:eastAsia="zh-CN"/>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157.05</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436065"/>
    <w:rsid w:val="15DA5399"/>
    <w:rsid w:val="187E3884"/>
    <w:rsid w:val="18F97B94"/>
    <w:rsid w:val="191A0446"/>
    <w:rsid w:val="1B4A363A"/>
    <w:rsid w:val="1BC526EF"/>
    <w:rsid w:val="1C882350"/>
    <w:rsid w:val="1CDC1A5B"/>
    <w:rsid w:val="1F451F7A"/>
    <w:rsid w:val="1FBC4A4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4F373ED"/>
    <w:rsid w:val="36273D08"/>
    <w:rsid w:val="368F70D3"/>
    <w:rsid w:val="37361A0B"/>
    <w:rsid w:val="38253B59"/>
    <w:rsid w:val="385B501F"/>
    <w:rsid w:val="38DE30B8"/>
    <w:rsid w:val="39284901"/>
    <w:rsid w:val="39AB5825"/>
    <w:rsid w:val="39DD6BA9"/>
    <w:rsid w:val="3A482539"/>
    <w:rsid w:val="3A915046"/>
    <w:rsid w:val="3C4C15D1"/>
    <w:rsid w:val="3CE440CF"/>
    <w:rsid w:val="3CEA5A8A"/>
    <w:rsid w:val="3D897F97"/>
    <w:rsid w:val="3DA7578C"/>
    <w:rsid w:val="3E43485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C01A20"/>
    <w:rsid w:val="4ED6365B"/>
    <w:rsid w:val="4EE94FAC"/>
    <w:rsid w:val="4F735000"/>
    <w:rsid w:val="50041643"/>
    <w:rsid w:val="50F75E7E"/>
    <w:rsid w:val="51436F0F"/>
    <w:rsid w:val="51BB428B"/>
    <w:rsid w:val="51DF2696"/>
    <w:rsid w:val="52DF1D28"/>
    <w:rsid w:val="53A4083B"/>
    <w:rsid w:val="53CE29C2"/>
    <w:rsid w:val="54923E8D"/>
    <w:rsid w:val="54941844"/>
    <w:rsid w:val="5538455E"/>
    <w:rsid w:val="566F21D7"/>
    <w:rsid w:val="567F658B"/>
    <w:rsid w:val="56835CE6"/>
    <w:rsid w:val="56A94595"/>
    <w:rsid w:val="580A299B"/>
    <w:rsid w:val="5A9C197E"/>
    <w:rsid w:val="5B5D76B7"/>
    <w:rsid w:val="5B8E44C5"/>
    <w:rsid w:val="5C982767"/>
    <w:rsid w:val="5CD80EBE"/>
    <w:rsid w:val="5CFA751D"/>
    <w:rsid w:val="5D580A8A"/>
    <w:rsid w:val="5DB8541C"/>
    <w:rsid w:val="5E221344"/>
    <w:rsid w:val="5E32788E"/>
    <w:rsid w:val="5FB128C2"/>
    <w:rsid w:val="60731B65"/>
    <w:rsid w:val="60D72763"/>
    <w:rsid w:val="61525EF8"/>
    <w:rsid w:val="615F5A3C"/>
    <w:rsid w:val="62724E61"/>
    <w:rsid w:val="62B666A5"/>
    <w:rsid w:val="62E15FE9"/>
    <w:rsid w:val="65255B39"/>
    <w:rsid w:val="659C7B1A"/>
    <w:rsid w:val="65E847CC"/>
    <w:rsid w:val="67286561"/>
    <w:rsid w:val="691F508E"/>
    <w:rsid w:val="6A340295"/>
    <w:rsid w:val="6A5666B8"/>
    <w:rsid w:val="6C517895"/>
    <w:rsid w:val="6C626D3D"/>
    <w:rsid w:val="6DF0400D"/>
    <w:rsid w:val="6E5B22F8"/>
    <w:rsid w:val="700E2DC7"/>
    <w:rsid w:val="70EF2762"/>
    <w:rsid w:val="71201EF9"/>
    <w:rsid w:val="716F5053"/>
    <w:rsid w:val="71A212BE"/>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1F5A45"/>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152</Words>
  <Characters>158</Characters>
  <Lines>22</Lines>
  <Paragraphs>6</Paragraphs>
  <TotalTime>46</TotalTime>
  <ScaleCrop>false</ScaleCrop>
  <LinksUpToDate>false</LinksUpToDate>
  <CharactersWithSpaces>171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GYL</cp:lastModifiedBy>
  <cp:lastPrinted>2025-04-04T02:00:00Z</cp:lastPrinted>
  <dcterms:modified xsi:type="dcterms:W3CDTF">2025-04-07T05:47:17Z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B9C749F4EFE849DB8E31BF8C4B562769_13</vt:lpwstr>
  </property>
  <property fmtid="{D5CDD505-2E9C-101B-9397-08002B2CF9AE}" pid="4" name="KSOTemplateDocerSaveRecord">
    <vt:lpwstr>eyJoZGlkIjoiNjk4Mjc1MGY1NmUzZDI0ZjcwN2ZhZWNkNzY4ODVmYjEiLCJ1c2VySWQiOiIyODcyMjQ5MDkifQ==</vt:lpwstr>
  </property>
</Properties>
</file>