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both"/>
        <w:rPr>
          <w:rFonts w:ascii="宋体" w:hAnsi="宋体" w:eastAsia="宋体" w:cs="宋体"/>
          <w:sz w:val="44"/>
          <w:szCs w:val="44"/>
        </w:rPr>
      </w:pPr>
    </w:p>
    <w:p>
      <w:pPr>
        <w:bidi w:val="0"/>
        <w:rPr>
          <w:rFonts w:asciiTheme="minorHAnsi" w:hAnsiTheme="minorHAnsi" w:eastAsiaTheme="minorEastAsia" w:cstheme="minorBidi"/>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tabs>
          <w:tab w:val="left" w:pos="1951"/>
        </w:tabs>
        <w:bidi w:val="0"/>
        <w:jc w:val="center"/>
        <w:rPr>
          <w:rFonts w:hint="default" w:eastAsiaTheme="minorEastAsia"/>
          <w:lang w:val="en-US" w:eastAsia="zh-CN"/>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pPr>
      <w:r>
        <w:rPr>
          <w:rFonts w:hint="eastAsia" w:ascii="黑体" w:hAnsi="黑体" w:eastAsia="黑体" w:cs="黑体"/>
          <w:sz w:val="52"/>
          <w:szCs w:val="52"/>
          <w:lang w:val="en-US" w:eastAsia="zh-CN"/>
        </w:rPr>
        <w:t>2023年度永吉县政府决算公开</w:t>
      </w:r>
    </w:p>
    <w:p>
      <w:pPr>
        <w:pStyle w:val="2"/>
      </w:pPr>
    </w:p>
    <w:p>
      <w:pPr>
        <w:spacing w:line="600" w:lineRule="exact"/>
        <w:ind w:firstLine="883" w:firstLineChars="200"/>
        <w:jc w:val="center"/>
        <w:rPr>
          <w:rFonts w:ascii="宋体" w:hAnsi="宋体" w:eastAsia="宋体" w:cs="宋体"/>
          <w:b/>
          <w:bCs/>
          <w:sz w:val="44"/>
          <w:szCs w:val="44"/>
        </w:rPr>
      </w:pPr>
      <w:r>
        <w:rPr>
          <w:rFonts w:hint="eastAsia" w:ascii="宋体" w:hAnsi="宋体" w:eastAsia="宋体" w:cs="宋体"/>
          <w:b/>
          <w:bCs/>
          <w:sz w:val="44"/>
          <w:szCs w:val="44"/>
        </w:rPr>
        <w:t>编表说明</w:t>
      </w:r>
    </w:p>
    <w:p>
      <w:pPr>
        <w:spacing w:line="600" w:lineRule="exact"/>
        <w:ind w:firstLine="880" w:firstLineChars="200"/>
        <w:jc w:val="center"/>
        <w:rPr>
          <w:rFonts w:ascii="宋体" w:hAnsi="宋体" w:eastAsia="宋体" w:cs="宋体"/>
          <w:sz w:val="44"/>
          <w:szCs w:val="44"/>
        </w:rPr>
      </w:pPr>
    </w:p>
    <w:p>
      <w:pPr>
        <w:keepNext w:val="0"/>
        <w:keepLines w:val="0"/>
        <w:pageBreakBefore w:val="0"/>
        <w:widowControl/>
        <w:kinsoku/>
        <w:wordWrap/>
        <w:overflowPunct/>
        <w:topLinePunct w:val="0"/>
        <w:autoSpaceDE/>
        <w:autoSpaceDN/>
        <w:bidi w:val="0"/>
        <w:adjustRightInd w:val="0"/>
        <w:snapToGrid w:val="0"/>
        <w:spacing w:after="0" w:line="600" w:lineRule="exact"/>
        <w:ind w:firstLine="640" w:firstLineChars="200"/>
        <w:textAlignment w:val="auto"/>
        <w:rPr>
          <w:rFonts w:ascii="Times New Roman" w:hAnsi="Times New Roman" w:eastAsia="仿宋" w:cs="Times New Roman"/>
          <w:sz w:val="32"/>
          <w:szCs w:val="32"/>
        </w:rPr>
      </w:pPr>
      <w:r>
        <w:rPr>
          <w:rFonts w:hint="eastAsia" w:ascii="Times New Roman" w:hAnsi="Times New Roman" w:eastAsia="仿宋" w:cs="Times New Roman"/>
          <w:sz w:val="32"/>
          <w:szCs w:val="32"/>
        </w:rPr>
        <w:t>一、</w:t>
      </w:r>
      <w:r>
        <w:rPr>
          <w:rFonts w:ascii="Times New Roman" w:hAnsi="Times New Roman" w:eastAsia="仿宋" w:cs="Times New Roman"/>
          <w:sz w:val="32"/>
          <w:szCs w:val="32"/>
        </w:rPr>
        <w:t>根据《中华人民共和国预算法》规定，本草案的表格和说明按一般公共决算、政府性基金决算</w:t>
      </w:r>
      <w:r>
        <w:rPr>
          <w:rFonts w:hint="eastAsia" w:ascii="Times New Roman" w:hAnsi="Times New Roman" w:eastAsia="仿宋" w:cs="Times New Roman"/>
          <w:sz w:val="32"/>
          <w:szCs w:val="32"/>
        </w:rPr>
        <w:t>、国有资本经营</w:t>
      </w:r>
      <w:r>
        <w:rPr>
          <w:rFonts w:ascii="Times New Roman" w:hAnsi="Times New Roman" w:eastAsia="仿宋" w:cs="Times New Roman"/>
          <w:sz w:val="32"/>
          <w:szCs w:val="32"/>
        </w:rPr>
        <w:t>决算和社会保险基金决算等</w:t>
      </w:r>
      <w:r>
        <w:rPr>
          <w:rFonts w:hint="eastAsia" w:ascii="Times New Roman" w:hAnsi="Times New Roman" w:eastAsia="仿宋" w:cs="Times New Roman"/>
          <w:sz w:val="32"/>
          <w:szCs w:val="32"/>
        </w:rPr>
        <w:t>四</w:t>
      </w:r>
      <w:r>
        <w:rPr>
          <w:rFonts w:ascii="Times New Roman" w:hAnsi="Times New Roman" w:eastAsia="仿宋" w:cs="Times New Roman"/>
          <w:sz w:val="32"/>
          <w:szCs w:val="32"/>
        </w:rPr>
        <w:t>部分列示，因永吉县无国有资本经营预算，本次公开列示国有资本经营决算</w:t>
      </w:r>
      <w:r>
        <w:rPr>
          <w:rFonts w:hint="eastAsia" w:ascii="Times New Roman" w:hAnsi="Times New Roman" w:eastAsia="仿宋" w:cs="Times New Roman"/>
          <w:sz w:val="32"/>
          <w:szCs w:val="32"/>
        </w:rPr>
        <w:t>空表</w:t>
      </w:r>
      <w:r>
        <w:rPr>
          <w:rFonts w:ascii="Times New Roman" w:hAnsi="Times New Roman" w:eastAsia="仿宋" w:cs="Times New Roman"/>
          <w:sz w:val="32"/>
          <w:szCs w:val="32"/>
        </w:rPr>
        <w:t>。</w:t>
      </w:r>
    </w:p>
    <w:p>
      <w:pPr>
        <w:keepNext w:val="0"/>
        <w:keepLines w:val="0"/>
        <w:pageBreakBefore w:val="0"/>
        <w:widowControl/>
        <w:tabs>
          <w:tab w:val="left" w:pos="679"/>
        </w:tabs>
        <w:kinsoku/>
        <w:wordWrap/>
        <w:overflowPunct/>
        <w:topLinePunct w:val="0"/>
        <w:autoSpaceDE/>
        <w:autoSpaceDN/>
        <w:bidi w:val="0"/>
        <w:adjustRightInd w:val="0"/>
        <w:snapToGrid w:val="0"/>
        <w:spacing w:after="0" w:line="600" w:lineRule="exact"/>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ab/>
      </w:r>
      <w:r>
        <w:rPr>
          <w:rFonts w:hint="eastAsia" w:ascii="Times New Roman" w:hAnsi="Times New Roman" w:eastAsia="仿宋" w:cs="Times New Roman"/>
          <w:sz w:val="32"/>
          <w:szCs w:val="32"/>
        </w:rPr>
        <w:t>二、</w:t>
      </w:r>
      <w:r>
        <w:rPr>
          <w:rFonts w:hint="eastAsia" w:ascii="Times New Roman" w:hAnsi="Times New Roman" w:eastAsia="仿宋" w:cs="Times New Roman"/>
          <w:sz w:val="32"/>
          <w:szCs w:val="32"/>
          <w:lang w:val="en-US" w:eastAsia="zh-CN"/>
        </w:rPr>
        <w:t>2023</w:t>
      </w:r>
      <w:r>
        <w:rPr>
          <w:rFonts w:hint="eastAsia" w:ascii="Times New Roman" w:hAnsi="Times New Roman" w:eastAsia="仿宋" w:cs="Times New Roman"/>
          <w:sz w:val="32"/>
          <w:szCs w:val="32"/>
        </w:rPr>
        <w:t>年永吉县一般公共预算收入完成表中税收收入增减幅度按自然增长数据比较填列。</w:t>
      </w:r>
    </w:p>
    <w:p>
      <w:pPr>
        <w:pStyle w:val="2"/>
      </w:pPr>
    </w:p>
    <w:p>
      <w:pPr>
        <w:spacing w:line="600" w:lineRule="exact"/>
        <w:jc w:val="center"/>
        <w:rPr>
          <w:rFonts w:ascii="Times New Roman" w:hAnsi="Times New Roman" w:eastAsia="仿宋" w:cs="Times New Roman"/>
          <w:sz w:val="32"/>
          <w:szCs w:val="32"/>
        </w:rPr>
      </w:pPr>
    </w:p>
    <w:p>
      <w:pPr>
        <w:spacing w:line="600" w:lineRule="exact"/>
        <w:jc w:val="center"/>
        <w:rPr>
          <w:rFonts w:ascii="Times New Roman" w:hAnsi="Times New Roman" w:eastAsia="仿宋" w:cs="Times New Roman"/>
          <w:sz w:val="32"/>
          <w:szCs w:val="32"/>
        </w:rPr>
      </w:pPr>
    </w:p>
    <w:p>
      <w:pPr>
        <w:spacing w:line="600" w:lineRule="exact"/>
        <w:jc w:val="center"/>
        <w:rPr>
          <w:rFonts w:ascii="Times New Roman" w:hAnsi="Times New Roman" w:eastAsia="仿宋" w:cs="Times New Roman"/>
          <w:sz w:val="32"/>
          <w:szCs w:val="32"/>
        </w:rPr>
      </w:pPr>
    </w:p>
    <w:p>
      <w:pPr>
        <w:spacing w:line="600" w:lineRule="exact"/>
        <w:jc w:val="center"/>
        <w:rPr>
          <w:rFonts w:ascii="Times New Roman" w:hAnsi="Times New Roman" w:eastAsia="仿宋" w:cs="Times New Roman"/>
          <w:sz w:val="32"/>
          <w:szCs w:val="32"/>
        </w:rPr>
      </w:pPr>
    </w:p>
    <w:p>
      <w:pPr>
        <w:spacing w:line="600" w:lineRule="exact"/>
        <w:jc w:val="center"/>
        <w:rPr>
          <w:rFonts w:ascii="Times New Roman" w:hAnsi="Times New Roman" w:eastAsia="仿宋" w:cs="Times New Roman"/>
          <w:sz w:val="32"/>
          <w:szCs w:val="32"/>
        </w:rPr>
      </w:pPr>
    </w:p>
    <w:p>
      <w:pPr>
        <w:spacing w:line="600" w:lineRule="exact"/>
        <w:jc w:val="center"/>
        <w:rPr>
          <w:rFonts w:ascii="Times New Roman" w:hAnsi="Times New Roman" w:eastAsia="仿宋" w:cs="Times New Roman"/>
          <w:sz w:val="32"/>
          <w:szCs w:val="32"/>
        </w:rPr>
      </w:pPr>
    </w:p>
    <w:p>
      <w:pPr>
        <w:spacing w:line="600" w:lineRule="exact"/>
        <w:jc w:val="center"/>
        <w:rPr>
          <w:rFonts w:ascii="Times New Roman" w:hAnsi="Times New Roman" w:eastAsia="仿宋" w:cs="Times New Roman"/>
          <w:sz w:val="32"/>
          <w:szCs w:val="32"/>
        </w:rPr>
      </w:pPr>
    </w:p>
    <w:p>
      <w:pPr>
        <w:spacing w:line="600" w:lineRule="exact"/>
        <w:jc w:val="both"/>
        <w:rPr>
          <w:rFonts w:ascii="Times New Roman" w:hAnsi="Times New Roman" w:eastAsia="仿宋" w:cs="Times New Roman"/>
          <w:sz w:val="32"/>
          <w:szCs w:val="32"/>
        </w:rPr>
      </w:pPr>
    </w:p>
    <w:p>
      <w:pPr>
        <w:spacing w:line="600" w:lineRule="exact"/>
        <w:jc w:val="both"/>
        <w:rPr>
          <w:rFonts w:ascii="Times New Roman" w:hAnsi="Times New Roman" w:eastAsia="仿宋" w:cs="Times New Roman"/>
          <w:b/>
          <w:bCs/>
          <w:sz w:val="44"/>
          <w:szCs w:val="44"/>
        </w:rPr>
      </w:pPr>
      <w:bookmarkStart w:id="0" w:name="_Toc12727"/>
    </w:p>
    <w:bookmarkEnd w:id="0"/>
    <w:p>
      <w:pPr>
        <w:spacing w:line="600" w:lineRule="exact"/>
        <w:ind w:firstLine="883" w:firstLineChars="200"/>
        <w:jc w:val="center"/>
        <w:rPr>
          <w:rFonts w:ascii="宋体" w:hAnsi="宋体" w:eastAsia="宋体" w:cs="宋体"/>
          <w:b/>
          <w:bCs/>
          <w:sz w:val="44"/>
          <w:szCs w:val="44"/>
        </w:rPr>
      </w:pPr>
      <w:r>
        <w:rPr>
          <w:rFonts w:ascii="Times New Roman" w:hAnsi="Times New Roman" w:eastAsia="仿宋" w:cs="Times New Roman"/>
          <w:b/>
          <w:bCs/>
          <w:sz w:val="44"/>
          <w:szCs w:val="44"/>
        </w:rPr>
        <w:t>目</w:t>
      </w:r>
      <w:r>
        <w:rPr>
          <w:rFonts w:hint="eastAsia" w:ascii="Times New Roman" w:hAnsi="Times New Roman" w:eastAsia="仿宋" w:cs="Times New Roman"/>
          <w:b/>
          <w:bCs/>
          <w:sz w:val="44"/>
          <w:szCs w:val="44"/>
        </w:rPr>
        <w:t xml:space="preserve">    </w:t>
      </w:r>
      <w:r>
        <w:rPr>
          <w:rFonts w:ascii="Times New Roman" w:hAnsi="Times New Roman" w:eastAsia="仿宋" w:cs="Times New Roman"/>
          <w:b/>
          <w:bCs/>
          <w:sz w:val="44"/>
          <w:szCs w:val="44"/>
        </w:rPr>
        <w:t>录</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sz w:val="28"/>
          <w:szCs w:val="28"/>
          <w:lang w:val="en-US" w:eastAsia="zh-CN"/>
        </w:rPr>
      </w:pPr>
      <w:r>
        <w:rPr>
          <w:rFonts w:ascii="Times New Roman" w:hAnsi="Times New Roman" w:eastAsia="仿宋" w:cs="Times New Roman"/>
          <w:sz w:val="32"/>
          <w:szCs w:val="32"/>
        </w:rPr>
        <w:t>专有名词释义</w:t>
      </w:r>
      <w:r>
        <w:rPr>
          <w:b/>
          <w:bCs/>
          <w:sz w:val="28"/>
          <w:szCs w:val="28"/>
        </w:rPr>
        <w:tab/>
      </w:r>
      <w:bookmarkStart w:id="1" w:name="_Toc9183"/>
      <w:bookmarkStart w:id="2" w:name="_Toc17444"/>
      <w:r>
        <w:rPr>
          <w:rFonts w:hint="eastAsia"/>
          <w:b/>
          <w:bCs/>
          <w:sz w:val="28"/>
          <w:szCs w:val="28"/>
          <w:lang w:val="en-US" w:eastAsia="zh-CN"/>
        </w:rPr>
        <w:t>5</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sz w:val="28"/>
          <w:szCs w:val="28"/>
          <w:lang w:val="en-US" w:eastAsia="zh-CN"/>
        </w:rPr>
      </w:pPr>
      <w:r>
        <w:rPr>
          <w:rFonts w:hint="eastAsia" w:ascii="Times New Roman" w:hAnsi="Times New Roman" w:eastAsia="仿宋" w:cs="Times New Roman"/>
          <w:sz w:val="32"/>
          <w:szCs w:val="32"/>
        </w:rPr>
        <w:t>一、</w:t>
      </w:r>
      <w:r>
        <w:rPr>
          <w:rFonts w:hint="eastAsia" w:eastAsia="仿宋" w:cs="Times New Roman"/>
          <w:sz w:val="32"/>
          <w:szCs w:val="32"/>
          <w:lang w:val="en-US" w:eastAsia="zh-CN"/>
        </w:rPr>
        <w:t>2023</w:t>
      </w:r>
      <w:r>
        <w:rPr>
          <w:rFonts w:hint="eastAsia" w:ascii="Times New Roman" w:hAnsi="Times New Roman" w:eastAsia="仿宋" w:cs="Times New Roman"/>
          <w:sz w:val="32"/>
          <w:szCs w:val="32"/>
        </w:rPr>
        <w:t>年永吉县</w:t>
      </w:r>
      <w:r>
        <w:rPr>
          <w:rFonts w:ascii="Times New Roman" w:hAnsi="Times New Roman" w:eastAsia="仿宋" w:cs="Times New Roman"/>
          <w:sz w:val="32"/>
          <w:szCs w:val="32"/>
        </w:rPr>
        <w:t>一般公共</w:t>
      </w:r>
      <w:r>
        <w:rPr>
          <w:rFonts w:hint="eastAsia" w:ascii="Times New Roman" w:hAnsi="Times New Roman" w:eastAsia="仿宋" w:cs="Times New Roman"/>
          <w:sz w:val="32"/>
          <w:szCs w:val="32"/>
        </w:rPr>
        <w:t>预算收支情况</w:t>
      </w:r>
      <w:bookmarkEnd w:id="1"/>
      <w:bookmarkEnd w:id="2"/>
      <w:bookmarkStart w:id="3" w:name="_Toc7134"/>
      <w:r>
        <w:rPr>
          <w:b/>
          <w:bCs/>
          <w:sz w:val="28"/>
          <w:szCs w:val="28"/>
        </w:rPr>
        <w:tab/>
      </w:r>
      <w:bookmarkStart w:id="4" w:name="_Toc29511"/>
      <w:r>
        <w:rPr>
          <w:rFonts w:hint="eastAsia"/>
          <w:b/>
          <w:bCs/>
          <w:sz w:val="28"/>
          <w:szCs w:val="28"/>
          <w:lang w:val="en-US" w:eastAsia="zh-CN"/>
        </w:rPr>
        <w:t>9</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sz w:val="28"/>
          <w:szCs w:val="28"/>
          <w:lang w:val="en-US" w:eastAsia="zh-CN"/>
        </w:rPr>
      </w:pPr>
      <w:r>
        <w:rPr>
          <w:rFonts w:ascii="Times New Roman" w:hAnsi="Times New Roman" w:eastAsia="仿宋" w:cs="Times New Roman"/>
          <w:sz w:val="32"/>
          <w:szCs w:val="32"/>
        </w:rPr>
        <w:t>（一）</w:t>
      </w:r>
      <w:r>
        <w:rPr>
          <w:rFonts w:hint="eastAsia" w:eastAsia="仿宋" w:cs="Times New Roman"/>
          <w:sz w:val="32"/>
          <w:szCs w:val="32"/>
          <w:lang w:val="en-US" w:eastAsia="zh-CN"/>
        </w:rPr>
        <w:t>2023</w:t>
      </w:r>
      <w:r>
        <w:rPr>
          <w:rFonts w:ascii="Times New Roman" w:hAnsi="Times New Roman" w:eastAsia="仿宋" w:cs="Times New Roman"/>
          <w:sz w:val="32"/>
          <w:szCs w:val="32"/>
        </w:rPr>
        <w:t>年永吉县一般公共预算财政收支平衡表</w:t>
      </w:r>
      <w:bookmarkEnd w:id="3"/>
      <w:bookmarkEnd w:id="4"/>
      <w:bookmarkStart w:id="5" w:name="_Toc3176"/>
      <w:bookmarkStart w:id="6" w:name="_Toc13884"/>
      <w:r>
        <w:rPr>
          <w:b/>
          <w:bCs/>
          <w:sz w:val="28"/>
          <w:szCs w:val="28"/>
        </w:rPr>
        <w:tab/>
      </w:r>
      <w:r>
        <w:rPr>
          <w:rFonts w:hint="eastAsia"/>
          <w:b/>
          <w:bCs/>
          <w:sz w:val="28"/>
          <w:szCs w:val="28"/>
          <w:lang w:val="en-US" w:eastAsia="zh-CN"/>
        </w:rPr>
        <w:t>10</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sz w:val="28"/>
          <w:szCs w:val="28"/>
          <w:lang w:val="en-US" w:eastAsia="zh-CN"/>
        </w:rPr>
      </w:pPr>
      <w:r>
        <w:rPr>
          <w:rFonts w:ascii="Times New Roman" w:hAnsi="Times New Roman" w:eastAsia="仿宋" w:cs="Times New Roman"/>
          <w:sz w:val="32"/>
          <w:szCs w:val="32"/>
        </w:rPr>
        <w:t>（二）</w:t>
      </w:r>
      <w:r>
        <w:rPr>
          <w:rFonts w:hint="eastAsia" w:eastAsia="仿宋" w:cs="Times New Roman"/>
          <w:sz w:val="32"/>
          <w:szCs w:val="32"/>
          <w:lang w:val="en-US" w:eastAsia="zh-CN"/>
        </w:rPr>
        <w:t>2023</w:t>
      </w:r>
      <w:r>
        <w:rPr>
          <w:rFonts w:ascii="Times New Roman" w:hAnsi="Times New Roman" w:eastAsia="仿宋" w:cs="Times New Roman"/>
          <w:sz w:val="32"/>
          <w:szCs w:val="32"/>
        </w:rPr>
        <w:t>年永吉县一般公共预算收入完成表</w:t>
      </w:r>
      <w:bookmarkEnd w:id="5"/>
      <w:bookmarkEnd w:id="6"/>
      <w:r>
        <w:rPr>
          <w:b/>
          <w:bCs/>
          <w:sz w:val="28"/>
          <w:szCs w:val="28"/>
        </w:rPr>
        <w:tab/>
      </w:r>
      <w:r>
        <w:rPr>
          <w:rFonts w:hint="eastAsia"/>
          <w:b/>
          <w:bCs/>
          <w:sz w:val="28"/>
          <w:szCs w:val="28"/>
          <w:lang w:val="en-US" w:eastAsia="zh-CN"/>
        </w:rPr>
        <w:t>1</w:t>
      </w:r>
      <w:bookmarkStart w:id="7" w:name="_Toc9714"/>
      <w:bookmarkStart w:id="8" w:name="_Toc16919"/>
      <w:r>
        <w:rPr>
          <w:rFonts w:hint="eastAsia"/>
          <w:b/>
          <w:bCs/>
          <w:sz w:val="28"/>
          <w:szCs w:val="28"/>
          <w:lang w:val="en-US" w:eastAsia="zh-CN"/>
        </w:rPr>
        <w:t>2</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sz w:val="28"/>
          <w:szCs w:val="28"/>
          <w:lang w:val="en-US" w:eastAsia="zh-CN"/>
        </w:rPr>
      </w:pPr>
      <w:r>
        <w:rPr>
          <w:rFonts w:ascii="Times New Roman" w:hAnsi="Times New Roman" w:eastAsia="仿宋" w:cs="Times New Roman"/>
          <w:sz w:val="32"/>
          <w:szCs w:val="32"/>
        </w:rPr>
        <w:t>（三）</w:t>
      </w:r>
      <w:r>
        <w:rPr>
          <w:rFonts w:hint="eastAsia" w:eastAsia="仿宋" w:cs="Times New Roman"/>
          <w:b w:val="0"/>
          <w:i w:val="0"/>
          <w:sz w:val="32"/>
          <w:szCs w:val="32"/>
          <w:lang w:eastAsia="zh-CN"/>
        </w:rPr>
        <w:t>20</w:t>
      </w:r>
      <w:r>
        <w:rPr>
          <w:rFonts w:hint="eastAsia" w:eastAsia="仿宋" w:cs="Times New Roman"/>
          <w:b w:val="0"/>
          <w:i w:val="0"/>
          <w:sz w:val="32"/>
          <w:szCs w:val="32"/>
          <w:lang w:val="en-US" w:eastAsia="zh-CN"/>
        </w:rPr>
        <w:t>23</w:t>
      </w:r>
      <w:r>
        <w:rPr>
          <w:rFonts w:ascii="Times New Roman" w:hAnsi="Times New Roman" w:eastAsia="仿宋" w:cs="Times New Roman"/>
          <w:sz w:val="32"/>
          <w:szCs w:val="32"/>
        </w:rPr>
        <w:t>年永吉县一般公共预算支出完成表</w:t>
      </w:r>
      <w:bookmarkEnd w:id="7"/>
      <w:bookmarkEnd w:id="8"/>
      <w:r>
        <w:rPr>
          <w:b/>
          <w:bCs/>
          <w:sz w:val="28"/>
          <w:szCs w:val="28"/>
        </w:rPr>
        <w:tab/>
      </w:r>
      <w:bookmarkStart w:id="9" w:name="_Toc5137"/>
      <w:bookmarkStart w:id="10" w:name="_Toc28676"/>
      <w:r>
        <w:rPr>
          <w:rFonts w:hint="eastAsia"/>
          <w:b/>
          <w:bCs/>
          <w:sz w:val="28"/>
          <w:szCs w:val="28"/>
          <w:lang w:val="en-US" w:eastAsia="zh-CN"/>
        </w:rPr>
        <w:t>14</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sz w:val="28"/>
          <w:szCs w:val="28"/>
          <w:lang w:val="en-US" w:eastAsia="zh-CN"/>
        </w:rPr>
      </w:pPr>
      <w:r>
        <w:rPr>
          <w:rFonts w:hint="eastAsia" w:ascii="Times New Roman" w:hAnsi="Times New Roman" w:eastAsia="仿宋" w:cs="Times New Roman"/>
          <w:sz w:val="32"/>
          <w:szCs w:val="32"/>
        </w:rPr>
        <w:t>（四）</w:t>
      </w:r>
      <w:r>
        <w:rPr>
          <w:rFonts w:hint="eastAsia" w:eastAsia="仿宋" w:cs="Times New Roman"/>
          <w:b w:val="0"/>
          <w:i w:val="0"/>
          <w:sz w:val="32"/>
          <w:szCs w:val="32"/>
          <w:lang w:eastAsia="zh-CN"/>
        </w:rPr>
        <w:t>20</w:t>
      </w:r>
      <w:r>
        <w:rPr>
          <w:rFonts w:hint="eastAsia" w:eastAsia="仿宋" w:cs="Times New Roman"/>
          <w:b w:val="0"/>
          <w:i w:val="0"/>
          <w:sz w:val="32"/>
          <w:szCs w:val="32"/>
          <w:lang w:val="en-US" w:eastAsia="zh-CN"/>
        </w:rPr>
        <w:t>23</w:t>
      </w:r>
      <w:r>
        <w:rPr>
          <w:rFonts w:hint="eastAsia" w:ascii="Times New Roman" w:hAnsi="Times New Roman" w:eastAsia="仿宋" w:cs="Times New Roman"/>
          <w:sz w:val="32"/>
          <w:szCs w:val="32"/>
        </w:rPr>
        <w:t>年永吉县本级一般公共预算支出完成表</w:t>
      </w:r>
      <w:bookmarkEnd w:id="9"/>
      <w:bookmarkEnd w:id="10"/>
      <w:r>
        <w:rPr>
          <w:b/>
          <w:bCs/>
          <w:sz w:val="28"/>
          <w:szCs w:val="28"/>
        </w:rPr>
        <w:tab/>
      </w:r>
      <w:bookmarkStart w:id="11" w:name="_Toc15712"/>
      <w:bookmarkStart w:id="12" w:name="_Toc27196"/>
      <w:r>
        <w:rPr>
          <w:rFonts w:hint="eastAsia"/>
          <w:b/>
          <w:bCs/>
          <w:sz w:val="28"/>
          <w:szCs w:val="28"/>
          <w:lang w:val="en-US" w:eastAsia="zh-CN"/>
        </w:rPr>
        <w:t>18</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sz w:val="28"/>
          <w:szCs w:val="28"/>
          <w:lang w:val="en-US" w:eastAsia="zh-CN"/>
        </w:rPr>
      </w:pPr>
      <w:r>
        <w:rPr>
          <w:rFonts w:hint="eastAsia" w:ascii="Times New Roman" w:hAnsi="Times New Roman" w:eastAsia="仿宋" w:cs="Times New Roman"/>
          <w:sz w:val="32"/>
          <w:szCs w:val="32"/>
        </w:rPr>
        <w:t>（五）</w:t>
      </w:r>
      <w:r>
        <w:rPr>
          <w:rFonts w:hint="eastAsia" w:eastAsia="仿宋" w:cs="Times New Roman"/>
          <w:b w:val="0"/>
          <w:i w:val="0"/>
          <w:sz w:val="32"/>
          <w:szCs w:val="32"/>
          <w:lang w:eastAsia="zh-CN"/>
        </w:rPr>
        <w:t>20</w:t>
      </w:r>
      <w:r>
        <w:rPr>
          <w:rFonts w:hint="eastAsia" w:eastAsia="仿宋" w:cs="Times New Roman"/>
          <w:b w:val="0"/>
          <w:i w:val="0"/>
          <w:sz w:val="32"/>
          <w:szCs w:val="32"/>
          <w:lang w:val="en-US" w:eastAsia="zh-CN"/>
        </w:rPr>
        <w:t>23</w:t>
      </w:r>
      <w:r>
        <w:rPr>
          <w:rFonts w:hint="eastAsia" w:ascii="Times New Roman" w:hAnsi="Times New Roman" w:eastAsia="仿宋" w:cs="Times New Roman"/>
          <w:sz w:val="32"/>
          <w:szCs w:val="32"/>
        </w:rPr>
        <w:t>年永吉县本级一般公共预算基本支出完成表</w:t>
      </w:r>
      <w:bookmarkEnd w:id="11"/>
      <w:bookmarkEnd w:id="12"/>
      <w:r>
        <w:rPr>
          <w:b/>
          <w:bCs/>
          <w:sz w:val="28"/>
          <w:szCs w:val="28"/>
        </w:rPr>
        <w:tab/>
      </w:r>
      <w:bookmarkStart w:id="13" w:name="_Toc11521"/>
      <w:bookmarkStart w:id="14" w:name="_Toc21471"/>
      <w:r>
        <w:rPr>
          <w:rFonts w:hint="eastAsia"/>
          <w:b/>
          <w:bCs/>
          <w:sz w:val="28"/>
          <w:szCs w:val="28"/>
          <w:lang w:val="en-US" w:eastAsia="zh-CN"/>
        </w:rPr>
        <w:t>35</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sz w:val="28"/>
          <w:szCs w:val="28"/>
          <w:lang w:val="en-US" w:eastAsia="zh-CN"/>
        </w:rPr>
      </w:pPr>
      <w:r>
        <w:rPr>
          <w:rFonts w:hint="eastAsia" w:ascii="Times New Roman" w:hAnsi="Times New Roman" w:eastAsia="仿宋" w:cs="Times New Roman"/>
          <w:sz w:val="32"/>
          <w:szCs w:val="32"/>
        </w:rPr>
        <w:t>（六）</w:t>
      </w:r>
      <w:r>
        <w:rPr>
          <w:rFonts w:hint="eastAsia" w:eastAsia="仿宋" w:cs="Times New Roman"/>
          <w:b w:val="0"/>
          <w:i w:val="0"/>
          <w:sz w:val="32"/>
          <w:szCs w:val="32"/>
          <w:lang w:eastAsia="zh-CN"/>
        </w:rPr>
        <w:t>20</w:t>
      </w:r>
      <w:r>
        <w:rPr>
          <w:rFonts w:hint="eastAsia" w:eastAsia="仿宋" w:cs="Times New Roman"/>
          <w:b w:val="0"/>
          <w:i w:val="0"/>
          <w:sz w:val="32"/>
          <w:szCs w:val="32"/>
          <w:lang w:val="en-US" w:eastAsia="zh-CN"/>
        </w:rPr>
        <w:t>23</w:t>
      </w:r>
      <w:r>
        <w:rPr>
          <w:rFonts w:hint="eastAsia" w:ascii="Times New Roman" w:hAnsi="Times New Roman" w:eastAsia="仿宋" w:cs="Times New Roman"/>
          <w:sz w:val="32"/>
          <w:szCs w:val="32"/>
        </w:rPr>
        <w:t>年永吉县“三公经费”支出情况表及说明</w:t>
      </w:r>
      <w:bookmarkEnd w:id="13"/>
      <w:bookmarkEnd w:id="14"/>
      <w:r>
        <w:rPr>
          <w:b/>
          <w:bCs/>
          <w:sz w:val="28"/>
          <w:szCs w:val="28"/>
        </w:rPr>
        <w:tab/>
      </w:r>
      <w:bookmarkStart w:id="15" w:name="_Toc1968"/>
      <w:bookmarkStart w:id="16" w:name="_Toc8507"/>
      <w:r>
        <w:rPr>
          <w:rFonts w:hint="eastAsia"/>
          <w:b/>
          <w:bCs/>
          <w:sz w:val="28"/>
          <w:szCs w:val="28"/>
          <w:lang w:val="en-US" w:eastAsia="zh-CN"/>
        </w:rPr>
        <w:t>38</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sz w:val="28"/>
          <w:szCs w:val="28"/>
          <w:lang w:val="en-US" w:eastAsia="zh-CN"/>
        </w:rPr>
      </w:pPr>
      <w:r>
        <w:rPr>
          <w:rFonts w:ascii="Times New Roman" w:hAnsi="Times New Roman" w:eastAsia="仿宋" w:cs="Times New Roman"/>
          <w:sz w:val="32"/>
          <w:szCs w:val="32"/>
        </w:rPr>
        <w:t>（</w:t>
      </w:r>
      <w:r>
        <w:rPr>
          <w:rFonts w:hint="eastAsia" w:ascii="Times New Roman" w:hAnsi="Times New Roman" w:eastAsia="仿宋" w:cs="Times New Roman"/>
          <w:sz w:val="32"/>
          <w:szCs w:val="32"/>
        </w:rPr>
        <w:t>七</w:t>
      </w:r>
      <w:r>
        <w:rPr>
          <w:rFonts w:ascii="Times New Roman" w:hAnsi="Times New Roman" w:eastAsia="仿宋" w:cs="Times New Roman"/>
          <w:sz w:val="32"/>
          <w:szCs w:val="32"/>
        </w:rPr>
        <w:t>）</w:t>
      </w:r>
      <w:r>
        <w:rPr>
          <w:rFonts w:hint="eastAsia" w:eastAsia="仿宋" w:cs="Times New Roman"/>
          <w:b w:val="0"/>
          <w:i w:val="0"/>
          <w:sz w:val="32"/>
          <w:szCs w:val="32"/>
          <w:lang w:eastAsia="zh-CN"/>
        </w:rPr>
        <w:t>20</w:t>
      </w:r>
      <w:r>
        <w:rPr>
          <w:rFonts w:hint="eastAsia" w:eastAsia="仿宋" w:cs="Times New Roman"/>
          <w:b w:val="0"/>
          <w:i w:val="0"/>
          <w:sz w:val="32"/>
          <w:szCs w:val="32"/>
          <w:lang w:val="en-US" w:eastAsia="zh-CN"/>
        </w:rPr>
        <w:t>23</w:t>
      </w:r>
      <w:r>
        <w:rPr>
          <w:rFonts w:ascii="Times New Roman" w:hAnsi="Times New Roman" w:eastAsia="仿宋" w:cs="Times New Roman"/>
          <w:sz w:val="32"/>
          <w:szCs w:val="32"/>
        </w:rPr>
        <w:t>年永吉县一般公共预算税收返还和转移支付表</w:t>
      </w:r>
      <w:r>
        <w:rPr>
          <w:rFonts w:hint="eastAsia" w:ascii="Times New Roman" w:hAnsi="Times New Roman" w:eastAsia="仿宋" w:cs="Times New Roman"/>
          <w:sz w:val="32"/>
          <w:szCs w:val="32"/>
        </w:rPr>
        <w:t>及说明</w:t>
      </w:r>
      <w:bookmarkEnd w:id="15"/>
      <w:bookmarkEnd w:id="16"/>
      <w:r>
        <w:rPr>
          <w:b/>
          <w:bCs/>
          <w:sz w:val="28"/>
          <w:szCs w:val="28"/>
        </w:rPr>
        <w:tab/>
      </w:r>
      <w:bookmarkStart w:id="17" w:name="_Toc28236"/>
      <w:bookmarkStart w:id="18" w:name="_Toc10460"/>
      <w:r>
        <w:rPr>
          <w:rFonts w:hint="eastAsia"/>
          <w:b/>
          <w:bCs/>
          <w:sz w:val="28"/>
          <w:szCs w:val="28"/>
          <w:lang w:val="en-US" w:eastAsia="zh-CN"/>
        </w:rPr>
        <w:t>40</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sz w:val="28"/>
          <w:szCs w:val="28"/>
          <w:lang w:val="en-US" w:eastAsia="zh-CN"/>
        </w:rPr>
      </w:pPr>
      <w:r>
        <w:rPr>
          <w:rFonts w:hint="eastAsia" w:ascii="Times New Roman" w:hAnsi="Times New Roman" w:eastAsia="仿宋" w:cs="Times New Roman"/>
          <w:sz w:val="32"/>
          <w:szCs w:val="32"/>
        </w:rPr>
        <w:t>二、</w:t>
      </w:r>
      <w:r>
        <w:rPr>
          <w:rFonts w:hint="eastAsia" w:eastAsia="仿宋" w:cs="Times New Roman"/>
          <w:b w:val="0"/>
          <w:i w:val="0"/>
          <w:sz w:val="32"/>
          <w:szCs w:val="32"/>
          <w:lang w:eastAsia="zh-CN"/>
        </w:rPr>
        <w:t>20</w:t>
      </w:r>
      <w:r>
        <w:rPr>
          <w:rFonts w:hint="eastAsia" w:eastAsia="仿宋" w:cs="Times New Roman"/>
          <w:b w:val="0"/>
          <w:i w:val="0"/>
          <w:sz w:val="32"/>
          <w:szCs w:val="32"/>
          <w:lang w:val="en-US" w:eastAsia="zh-CN"/>
        </w:rPr>
        <w:t>23</w:t>
      </w:r>
      <w:r>
        <w:rPr>
          <w:rFonts w:hint="eastAsia" w:ascii="Times New Roman" w:hAnsi="Times New Roman" w:eastAsia="仿宋" w:cs="Times New Roman"/>
          <w:sz w:val="32"/>
          <w:szCs w:val="32"/>
        </w:rPr>
        <w:t>年永吉县</w:t>
      </w:r>
      <w:r>
        <w:rPr>
          <w:rFonts w:ascii="Times New Roman" w:hAnsi="Times New Roman" w:eastAsia="仿宋" w:cs="Times New Roman"/>
          <w:sz w:val="32"/>
          <w:szCs w:val="32"/>
        </w:rPr>
        <w:t>政府性基金</w:t>
      </w:r>
      <w:r>
        <w:rPr>
          <w:rFonts w:hint="eastAsia" w:ascii="Times New Roman" w:hAnsi="Times New Roman" w:eastAsia="仿宋" w:cs="Times New Roman"/>
          <w:sz w:val="32"/>
          <w:szCs w:val="32"/>
        </w:rPr>
        <w:t>收支情况</w:t>
      </w:r>
      <w:bookmarkEnd w:id="17"/>
      <w:bookmarkEnd w:id="18"/>
      <w:r>
        <w:rPr>
          <w:b/>
          <w:bCs/>
          <w:sz w:val="28"/>
          <w:szCs w:val="28"/>
        </w:rPr>
        <w:tab/>
      </w:r>
      <w:bookmarkStart w:id="19" w:name="_Toc11231"/>
      <w:bookmarkStart w:id="20" w:name="_Toc26592"/>
      <w:r>
        <w:rPr>
          <w:rFonts w:hint="eastAsia"/>
          <w:b/>
          <w:bCs/>
          <w:sz w:val="28"/>
          <w:szCs w:val="28"/>
          <w:lang w:val="en-US" w:eastAsia="zh-CN"/>
        </w:rPr>
        <w:t>44</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sz w:val="28"/>
          <w:szCs w:val="28"/>
          <w:lang w:val="en-US" w:eastAsia="zh-CN"/>
        </w:rPr>
      </w:pPr>
      <w:r>
        <w:rPr>
          <w:rFonts w:ascii="Times New Roman" w:hAnsi="Times New Roman" w:eastAsia="仿宋" w:cs="Times New Roman"/>
          <w:sz w:val="32"/>
          <w:szCs w:val="32"/>
        </w:rPr>
        <w:t>（一）</w:t>
      </w:r>
      <w:r>
        <w:rPr>
          <w:rFonts w:hint="eastAsia" w:eastAsia="仿宋" w:cs="Times New Roman"/>
          <w:b w:val="0"/>
          <w:i w:val="0"/>
          <w:sz w:val="32"/>
          <w:szCs w:val="32"/>
          <w:lang w:eastAsia="zh-CN"/>
        </w:rPr>
        <w:t>20</w:t>
      </w:r>
      <w:r>
        <w:rPr>
          <w:rFonts w:hint="eastAsia" w:eastAsia="仿宋" w:cs="Times New Roman"/>
          <w:b w:val="0"/>
          <w:i w:val="0"/>
          <w:sz w:val="32"/>
          <w:szCs w:val="32"/>
          <w:lang w:val="en-US" w:eastAsia="zh-CN"/>
        </w:rPr>
        <w:t>23</w:t>
      </w:r>
      <w:r>
        <w:rPr>
          <w:rFonts w:ascii="Times New Roman" w:hAnsi="Times New Roman" w:eastAsia="仿宋" w:cs="Times New Roman"/>
          <w:sz w:val="32"/>
          <w:szCs w:val="32"/>
        </w:rPr>
        <w:t>年永吉县政府性基金收入完成表</w:t>
      </w:r>
      <w:bookmarkEnd w:id="19"/>
      <w:bookmarkEnd w:id="20"/>
      <w:r>
        <w:rPr>
          <w:b/>
          <w:bCs/>
          <w:sz w:val="28"/>
          <w:szCs w:val="28"/>
        </w:rPr>
        <w:tab/>
      </w:r>
      <w:bookmarkStart w:id="21" w:name="_Toc24748"/>
      <w:bookmarkStart w:id="22" w:name="_Toc30787"/>
      <w:r>
        <w:rPr>
          <w:rFonts w:hint="eastAsia"/>
          <w:b/>
          <w:bCs/>
          <w:sz w:val="28"/>
          <w:szCs w:val="28"/>
          <w:lang w:val="en-US" w:eastAsia="zh-CN"/>
        </w:rPr>
        <w:t>45</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sz w:val="28"/>
          <w:szCs w:val="28"/>
          <w:lang w:val="en-US" w:eastAsia="zh-CN"/>
        </w:rPr>
      </w:pPr>
      <w:r>
        <w:rPr>
          <w:rFonts w:ascii="Times New Roman" w:hAnsi="Times New Roman" w:eastAsia="仿宋" w:cs="Times New Roman"/>
          <w:sz w:val="32"/>
          <w:szCs w:val="32"/>
        </w:rPr>
        <w:t>（</w:t>
      </w:r>
      <w:r>
        <w:rPr>
          <w:rFonts w:hint="eastAsia" w:eastAsia="仿宋" w:cs="Times New Roman"/>
          <w:sz w:val="32"/>
          <w:szCs w:val="32"/>
          <w:lang w:eastAsia="zh-CN"/>
        </w:rPr>
        <w:t>二</w:t>
      </w:r>
      <w:r>
        <w:rPr>
          <w:rFonts w:ascii="Times New Roman" w:hAnsi="Times New Roman" w:eastAsia="仿宋" w:cs="Times New Roman"/>
          <w:sz w:val="32"/>
          <w:szCs w:val="32"/>
        </w:rPr>
        <w:t>）</w:t>
      </w:r>
      <w:r>
        <w:rPr>
          <w:rFonts w:hint="eastAsia" w:eastAsia="仿宋" w:cs="Times New Roman"/>
          <w:b w:val="0"/>
          <w:i w:val="0"/>
          <w:sz w:val="32"/>
          <w:szCs w:val="32"/>
          <w:lang w:eastAsia="zh-CN"/>
        </w:rPr>
        <w:t>20</w:t>
      </w:r>
      <w:r>
        <w:rPr>
          <w:rFonts w:hint="eastAsia" w:eastAsia="仿宋" w:cs="Times New Roman"/>
          <w:b w:val="0"/>
          <w:i w:val="0"/>
          <w:sz w:val="32"/>
          <w:szCs w:val="32"/>
          <w:lang w:val="en-US" w:eastAsia="zh-CN"/>
        </w:rPr>
        <w:t>23</w:t>
      </w:r>
      <w:r>
        <w:rPr>
          <w:rFonts w:ascii="Times New Roman" w:hAnsi="Times New Roman" w:eastAsia="仿宋" w:cs="Times New Roman"/>
          <w:sz w:val="32"/>
          <w:szCs w:val="32"/>
        </w:rPr>
        <w:t>年永吉县政府性基金转移支付表</w:t>
      </w:r>
      <w:r>
        <w:rPr>
          <w:b/>
          <w:bCs/>
          <w:sz w:val="28"/>
          <w:szCs w:val="28"/>
        </w:rPr>
        <w:tab/>
      </w:r>
      <w:bookmarkEnd w:id="21"/>
      <w:bookmarkEnd w:id="22"/>
      <w:bookmarkStart w:id="23" w:name="_Toc15476"/>
      <w:bookmarkStart w:id="24" w:name="_Toc26992"/>
      <w:r>
        <w:rPr>
          <w:rFonts w:hint="eastAsia"/>
          <w:b/>
          <w:bCs/>
          <w:sz w:val="28"/>
          <w:szCs w:val="28"/>
          <w:lang w:val="en-US" w:eastAsia="zh-CN"/>
        </w:rPr>
        <w:t>47</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sz w:val="28"/>
          <w:szCs w:val="28"/>
          <w:lang w:val="en-US" w:eastAsia="zh-CN"/>
        </w:rPr>
      </w:pPr>
      <w:r>
        <w:rPr>
          <w:rFonts w:ascii="Times New Roman" w:hAnsi="Times New Roman" w:eastAsia="仿宋" w:cs="Times New Roman"/>
          <w:sz w:val="32"/>
          <w:szCs w:val="32"/>
        </w:rPr>
        <w:t>（三）</w:t>
      </w:r>
      <w:r>
        <w:rPr>
          <w:rFonts w:hint="eastAsia" w:eastAsia="仿宋" w:cs="Times New Roman"/>
          <w:b w:val="0"/>
          <w:i w:val="0"/>
          <w:sz w:val="32"/>
          <w:szCs w:val="32"/>
          <w:lang w:eastAsia="zh-CN"/>
        </w:rPr>
        <w:t>20</w:t>
      </w:r>
      <w:r>
        <w:rPr>
          <w:rFonts w:hint="eastAsia" w:eastAsia="仿宋" w:cs="Times New Roman"/>
          <w:b w:val="0"/>
          <w:i w:val="0"/>
          <w:sz w:val="32"/>
          <w:szCs w:val="32"/>
          <w:lang w:val="en-US" w:eastAsia="zh-CN"/>
        </w:rPr>
        <w:t>23</w:t>
      </w:r>
      <w:r>
        <w:rPr>
          <w:rFonts w:ascii="Times New Roman" w:hAnsi="Times New Roman" w:eastAsia="仿宋" w:cs="Times New Roman"/>
          <w:sz w:val="32"/>
          <w:szCs w:val="32"/>
        </w:rPr>
        <w:t>年永吉县政府性基金支</w:t>
      </w:r>
      <w:r>
        <w:rPr>
          <w:rFonts w:hint="eastAsia" w:eastAsia="仿宋" w:cs="Times New Roman"/>
          <w:sz w:val="32"/>
          <w:szCs w:val="32"/>
          <w:lang w:eastAsia="zh-CN"/>
        </w:rPr>
        <w:t>出完成</w:t>
      </w:r>
      <w:r>
        <w:rPr>
          <w:rFonts w:ascii="Times New Roman" w:hAnsi="Times New Roman" w:eastAsia="仿宋" w:cs="Times New Roman"/>
          <w:sz w:val="32"/>
          <w:szCs w:val="32"/>
        </w:rPr>
        <w:t>表</w:t>
      </w:r>
      <w:bookmarkEnd w:id="23"/>
      <w:bookmarkEnd w:id="24"/>
      <w:r>
        <w:rPr>
          <w:b/>
          <w:bCs/>
          <w:sz w:val="28"/>
          <w:szCs w:val="28"/>
        </w:rPr>
        <w:tab/>
      </w:r>
      <w:bookmarkStart w:id="25" w:name="_Toc8659"/>
      <w:bookmarkStart w:id="26" w:name="_Toc24450"/>
      <w:r>
        <w:rPr>
          <w:rFonts w:hint="eastAsia"/>
          <w:b/>
          <w:bCs/>
          <w:sz w:val="28"/>
          <w:szCs w:val="28"/>
          <w:lang w:val="en-US" w:eastAsia="zh-CN"/>
        </w:rPr>
        <w:t>49</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sz w:val="28"/>
          <w:szCs w:val="28"/>
          <w:lang w:val="en-US" w:eastAsia="zh-CN"/>
        </w:rPr>
      </w:pPr>
      <w:r>
        <w:rPr>
          <w:rFonts w:hint="eastAsia" w:ascii="Times New Roman" w:hAnsi="Times New Roman" w:eastAsia="仿宋" w:cs="Times New Roman"/>
          <w:sz w:val="32"/>
          <w:szCs w:val="32"/>
        </w:rPr>
        <w:t>三、</w:t>
      </w:r>
      <w:r>
        <w:rPr>
          <w:rFonts w:hint="eastAsia" w:eastAsia="仿宋" w:cs="Times New Roman"/>
          <w:b w:val="0"/>
          <w:i w:val="0"/>
          <w:sz w:val="32"/>
          <w:szCs w:val="32"/>
          <w:lang w:eastAsia="zh-CN"/>
        </w:rPr>
        <w:t>20</w:t>
      </w:r>
      <w:r>
        <w:rPr>
          <w:rFonts w:hint="eastAsia" w:eastAsia="仿宋" w:cs="Times New Roman"/>
          <w:b w:val="0"/>
          <w:i w:val="0"/>
          <w:sz w:val="32"/>
          <w:szCs w:val="32"/>
          <w:lang w:val="en-US" w:eastAsia="zh-CN"/>
        </w:rPr>
        <w:t>23</w:t>
      </w:r>
      <w:r>
        <w:rPr>
          <w:rFonts w:hint="eastAsia" w:ascii="Times New Roman" w:hAnsi="Times New Roman" w:eastAsia="仿宋" w:cs="Times New Roman"/>
          <w:sz w:val="32"/>
          <w:szCs w:val="32"/>
        </w:rPr>
        <w:t>年永吉县国有资本经营收支情况</w:t>
      </w:r>
      <w:bookmarkEnd w:id="25"/>
      <w:bookmarkEnd w:id="26"/>
      <w:r>
        <w:rPr>
          <w:b/>
          <w:bCs/>
          <w:sz w:val="28"/>
          <w:szCs w:val="28"/>
        </w:rPr>
        <w:tab/>
      </w:r>
      <w:bookmarkStart w:id="27" w:name="_Toc30802"/>
      <w:bookmarkStart w:id="28" w:name="_Toc26646"/>
      <w:r>
        <w:rPr>
          <w:rFonts w:hint="eastAsia"/>
          <w:b/>
          <w:bCs/>
          <w:sz w:val="28"/>
          <w:szCs w:val="28"/>
          <w:lang w:val="en-US" w:eastAsia="zh-CN"/>
        </w:rPr>
        <w:t>54</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sz w:val="28"/>
          <w:szCs w:val="28"/>
          <w:lang w:val="en-US" w:eastAsia="zh-CN"/>
        </w:rPr>
      </w:pPr>
      <w:r>
        <w:rPr>
          <w:rFonts w:hint="eastAsia" w:ascii="Times New Roman" w:hAnsi="Times New Roman" w:eastAsia="仿宋" w:cs="Times New Roman"/>
          <w:sz w:val="32"/>
          <w:szCs w:val="32"/>
        </w:rPr>
        <w:t>四、</w:t>
      </w:r>
      <w:r>
        <w:rPr>
          <w:rFonts w:hint="eastAsia" w:eastAsia="仿宋" w:cs="Times New Roman"/>
          <w:b w:val="0"/>
          <w:i w:val="0"/>
          <w:sz w:val="32"/>
          <w:szCs w:val="32"/>
          <w:lang w:eastAsia="zh-CN"/>
        </w:rPr>
        <w:t>20</w:t>
      </w:r>
      <w:r>
        <w:rPr>
          <w:rFonts w:hint="eastAsia" w:eastAsia="仿宋" w:cs="Times New Roman"/>
          <w:b w:val="0"/>
          <w:i w:val="0"/>
          <w:sz w:val="32"/>
          <w:szCs w:val="32"/>
          <w:lang w:val="en-US" w:eastAsia="zh-CN"/>
        </w:rPr>
        <w:t>23</w:t>
      </w:r>
      <w:r>
        <w:rPr>
          <w:rFonts w:hint="eastAsia" w:ascii="Times New Roman" w:hAnsi="Times New Roman" w:eastAsia="仿宋" w:cs="Times New Roman"/>
          <w:sz w:val="32"/>
          <w:szCs w:val="32"/>
        </w:rPr>
        <w:t>年永吉县</w:t>
      </w:r>
      <w:r>
        <w:rPr>
          <w:rFonts w:ascii="Times New Roman" w:hAnsi="Times New Roman" w:eastAsia="仿宋" w:cs="Times New Roman"/>
          <w:sz w:val="32"/>
          <w:szCs w:val="32"/>
        </w:rPr>
        <w:t>社会保险基金</w:t>
      </w:r>
      <w:r>
        <w:rPr>
          <w:rFonts w:hint="eastAsia" w:ascii="Times New Roman" w:hAnsi="Times New Roman" w:eastAsia="仿宋" w:cs="Times New Roman"/>
          <w:sz w:val="32"/>
          <w:szCs w:val="32"/>
        </w:rPr>
        <w:t>收支情况</w:t>
      </w:r>
      <w:bookmarkEnd w:id="27"/>
      <w:bookmarkEnd w:id="28"/>
      <w:r>
        <w:rPr>
          <w:b/>
          <w:bCs/>
          <w:sz w:val="28"/>
          <w:szCs w:val="28"/>
        </w:rPr>
        <w:tab/>
      </w:r>
      <w:r>
        <w:rPr>
          <w:rFonts w:hint="eastAsia"/>
          <w:b/>
          <w:bCs/>
          <w:sz w:val="28"/>
          <w:szCs w:val="28"/>
          <w:lang w:val="en-US" w:eastAsia="zh-CN"/>
        </w:rPr>
        <w:t>57</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sz w:val="28"/>
          <w:szCs w:val="28"/>
          <w:lang w:val="en-US" w:eastAsia="zh-CN"/>
        </w:rPr>
      </w:pPr>
      <w:r>
        <w:rPr>
          <w:rFonts w:hint="eastAsia" w:ascii="Times New Roman" w:hAnsi="Times New Roman" w:eastAsia="仿宋" w:cs="Times New Roman"/>
          <w:sz w:val="32"/>
          <w:szCs w:val="32"/>
          <w:lang w:val="en-US" w:eastAsia="zh-CN"/>
        </w:rPr>
        <w:t>（一）</w:t>
      </w:r>
      <w:r>
        <w:rPr>
          <w:rFonts w:hint="eastAsia" w:eastAsia="仿宋" w:cs="Times New Roman"/>
          <w:b w:val="0"/>
          <w:i w:val="0"/>
          <w:sz w:val="32"/>
          <w:szCs w:val="32"/>
          <w:lang w:eastAsia="zh-CN"/>
        </w:rPr>
        <w:t>20</w:t>
      </w:r>
      <w:r>
        <w:rPr>
          <w:rFonts w:hint="eastAsia" w:eastAsia="仿宋" w:cs="Times New Roman"/>
          <w:b w:val="0"/>
          <w:i w:val="0"/>
          <w:sz w:val="32"/>
          <w:szCs w:val="32"/>
          <w:lang w:val="en-US" w:eastAsia="zh-CN"/>
        </w:rPr>
        <w:t>23</w:t>
      </w:r>
      <w:r>
        <w:rPr>
          <w:rFonts w:ascii="Times New Roman" w:hAnsi="Times New Roman" w:eastAsia="仿宋" w:cs="Times New Roman"/>
          <w:sz w:val="32"/>
          <w:szCs w:val="32"/>
        </w:rPr>
        <w:t>年永吉县社会保险基金收</w:t>
      </w:r>
      <w:r>
        <w:rPr>
          <w:rFonts w:hint="eastAsia" w:ascii="Times New Roman" w:hAnsi="Times New Roman" w:eastAsia="仿宋" w:cs="Times New Roman"/>
          <w:sz w:val="32"/>
          <w:szCs w:val="32"/>
        </w:rPr>
        <w:t>支情况</w:t>
      </w:r>
      <w:r>
        <w:rPr>
          <w:rFonts w:ascii="Times New Roman" w:hAnsi="Times New Roman" w:eastAsia="仿宋" w:cs="Times New Roman"/>
          <w:sz w:val="32"/>
          <w:szCs w:val="32"/>
        </w:rPr>
        <w:t>表</w:t>
      </w:r>
      <w:r>
        <w:rPr>
          <w:b/>
          <w:bCs/>
          <w:sz w:val="28"/>
          <w:szCs w:val="28"/>
        </w:rPr>
        <w:tab/>
      </w:r>
      <w:r>
        <w:rPr>
          <w:rFonts w:hint="eastAsia"/>
          <w:b/>
          <w:bCs/>
          <w:sz w:val="28"/>
          <w:szCs w:val="28"/>
          <w:lang w:val="en-US" w:eastAsia="zh-CN"/>
        </w:rPr>
        <w:t>58</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sz w:val="28"/>
          <w:szCs w:val="28"/>
          <w:lang w:val="en-US" w:eastAsia="zh-CN"/>
        </w:rPr>
      </w:pPr>
      <w:r>
        <w:rPr>
          <w:rFonts w:hint="eastAsia" w:ascii="Times New Roman" w:hAnsi="Times New Roman" w:eastAsia="仿宋" w:cs="Times New Roman"/>
          <w:sz w:val="32"/>
          <w:szCs w:val="32"/>
          <w:lang w:val="en-US" w:eastAsia="zh-CN"/>
        </w:rPr>
        <w:t>（二）</w:t>
      </w:r>
      <w:r>
        <w:rPr>
          <w:rFonts w:hint="eastAsia" w:eastAsia="仿宋" w:cs="Times New Roman"/>
          <w:b w:val="0"/>
          <w:i w:val="0"/>
          <w:sz w:val="32"/>
          <w:szCs w:val="32"/>
          <w:lang w:val="en-US" w:eastAsia="zh-CN"/>
        </w:rPr>
        <w:t>2023</w:t>
      </w:r>
      <w:r>
        <w:rPr>
          <w:rFonts w:hint="eastAsia" w:ascii="Times New Roman" w:hAnsi="Times New Roman" w:eastAsia="仿宋" w:cs="Times New Roman"/>
          <w:sz w:val="32"/>
          <w:szCs w:val="32"/>
          <w:lang w:val="en-US" w:eastAsia="zh-CN"/>
        </w:rPr>
        <w:t>年永吉县社会保险基金收入完成表</w:t>
      </w:r>
      <w:r>
        <w:rPr>
          <w:b/>
          <w:bCs/>
          <w:sz w:val="28"/>
          <w:szCs w:val="28"/>
        </w:rPr>
        <w:tab/>
      </w:r>
      <w:r>
        <w:rPr>
          <w:rFonts w:hint="eastAsia"/>
          <w:b/>
          <w:bCs/>
          <w:sz w:val="28"/>
          <w:szCs w:val="28"/>
          <w:lang w:val="en-US" w:eastAsia="zh-CN"/>
        </w:rPr>
        <w:t>60</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sz w:val="28"/>
          <w:szCs w:val="28"/>
          <w:lang w:val="en-US" w:eastAsia="zh-CN"/>
        </w:rPr>
      </w:pPr>
      <w:r>
        <w:rPr>
          <w:rFonts w:hint="eastAsia" w:ascii="Times New Roman" w:hAnsi="Times New Roman" w:eastAsia="仿宋" w:cs="Times New Roman"/>
          <w:sz w:val="32"/>
          <w:szCs w:val="32"/>
          <w:lang w:eastAsia="zh-CN"/>
        </w:rPr>
        <w:t>（三）</w:t>
      </w:r>
      <w:r>
        <w:rPr>
          <w:rFonts w:hint="eastAsia" w:eastAsia="仿宋" w:cs="Times New Roman"/>
          <w:b w:val="0"/>
          <w:i w:val="0"/>
          <w:sz w:val="32"/>
          <w:szCs w:val="32"/>
          <w:lang w:eastAsia="zh-CN"/>
        </w:rPr>
        <w:t>20</w:t>
      </w:r>
      <w:r>
        <w:rPr>
          <w:rFonts w:hint="eastAsia" w:eastAsia="仿宋" w:cs="Times New Roman"/>
          <w:b w:val="0"/>
          <w:i w:val="0"/>
          <w:sz w:val="32"/>
          <w:szCs w:val="32"/>
          <w:lang w:val="en-US" w:eastAsia="zh-CN"/>
        </w:rPr>
        <w:t>23</w:t>
      </w:r>
      <w:r>
        <w:rPr>
          <w:rFonts w:hint="eastAsia" w:ascii="Times New Roman" w:hAnsi="Times New Roman" w:eastAsia="仿宋" w:cs="Times New Roman"/>
          <w:sz w:val="32"/>
          <w:szCs w:val="32"/>
        </w:rPr>
        <w:t>年永吉县社会保险基金支出完成表</w:t>
      </w:r>
      <w:r>
        <w:rPr>
          <w:b/>
          <w:bCs/>
          <w:sz w:val="28"/>
          <w:szCs w:val="28"/>
        </w:rPr>
        <w:tab/>
      </w:r>
      <w:r>
        <w:rPr>
          <w:rFonts w:hint="eastAsia"/>
          <w:b/>
          <w:bCs/>
          <w:sz w:val="28"/>
          <w:szCs w:val="28"/>
          <w:lang w:val="en-US" w:eastAsia="zh-CN"/>
        </w:rPr>
        <w:t>61</w:t>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sz w:val="28"/>
          <w:szCs w:val="28"/>
          <w:lang w:val="en-US" w:eastAsia="zh-CN"/>
        </w:rPr>
      </w:pPr>
      <w:r>
        <w:rPr>
          <w:rFonts w:ascii="Times New Roman" w:hAnsi="Times New Roman" w:eastAsia="仿宋" w:cs="Times New Roman"/>
          <w:sz w:val="32"/>
          <w:szCs w:val="32"/>
        </w:rPr>
        <w:t>重要事项解释说明</w:t>
      </w:r>
      <w:r>
        <w:rPr>
          <w:b/>
          <w:bCs/>
          <w:sz w:val="28"/>
          <w:szCs w:val="28"/>
        </w:rPr>
        <w:tab/>
      </w:r>
      <w:bookmarkStart w:id="29" w:name="_Toc30824"/>
      <w:bookmarkStart w:id="30" w:name="_Toc19825"/>
      <w:r>
        <w:rPr>
          <w:rFonts w:hint="eastAsia"/>
          <w:b/>
          <w:bCs/>
          <w:sz w:val="28"/>
          <w:szCs w:val="28"/>
          <w:lang w:val="en-US" w:eastAsia="zh-CN"/>
        </w:rPr>
        <w:t>64</w:t>
      </w:r>
    </w:p>
    <w:p>
      <w:pPr>
        <w:pStyle w:val="8"/>
        <w:keepNext w:val="0"/>
        <w:keepLines w:val="0"/>
        <w:pageBreakBefore w:val="0"/>
        <w:widowControl/>
        <w:numPr>
          <w:ilvl w:val="0"/>
          <w:numId w:val="1"/>
        </w:numPr>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sz w:val="28"/>
          <w:szCs w:val="28"/>
          <w:lang w:val="en-US" w:eastAsia="zh-CN"/>
        </w:rPr>
      </w:pPr>
      <w:r>
        <w:rPr>
          <w:rFonts w:ascii="Times New Roman" w:hAnsi="Times New Roman" w:eastAsia="仿宋" w:cs="Times New Roman"/>
          <w:sz w:val="32"/>
          <w:szCs w:val="32"/>
        </w:rPr>
        <w:t>举借</w:t>
      </w:r>
      <w:r>
        <w:rPr>
          <w:rFonts w:hint="eastAsia" w:eastAsia="仿宋" w:cs="Times New Roman"/>
          <w:sz w:val="32"/>
          <w:szCs w:val="32"/>
          <w:lang w:eastAsia="zh-CN"/>
        </w:rPr>
        <w:t>政府</w:t>
      </w:r>
      <w:r>
        <w:rPr>
          <w:rFonts w:ascii="Times New Roman" w:hAnsi="Times New Roman" w:eastAsia="仿宋" w:cs="Times New Roman"/>
          <w:sz w:val="32"/>
          <w:szCs w:val="32"/>
        </w:rPr>
        <w:t>债务</w:t>
      </w:r>
      <w:r>
        <w:rPr>
          <w:rFonts w:hint="eastAsia" w:ascii="Times New Roman" w:hAnsi="Times New Roman" w:eastAsia="仿宋" w:cs="Times New Roman"/>
          <w:sz w:val="32"/>
          <w:szCs w:val="32"/>
        </w:rPr>
        <w:t>情况</w:t>
      </w:r>
      <w:r>
        <w:rPr>
          <w:rFonts w:ascii="Times New Roman" w:hAnsi="Times New Roman" w:eastAsia="仿宋" w:cs="Times New Roman"/>
          <w:sz w:val="32"/>
          <w:szCs w:val="32"/>
        </w:rPr>
        <w:t>说明</w:t>
      </w:r>
      <w:bookmarkEnd w:id="29"/>
      <w:bookmarkEnd w:id="30"/>
      <w:r>
        <w:rPr>
          <w:b/>
          <w:bCs/>
          <w:sz w:val="28"/>
          <w:szCs w:val="28"/>
        </w:rPr>
        <w:tab/>
      </w:r>
      <w:r>
        <w:rPr>
          <w:rFonts w:hint="eastAsia"/>
          <w:b/>
          <w:bCs/>
          <w:sz w:val="28"/>
          <w:szCs w:val="28"/>
          <w:lang w:val="en-US" w:eastAsia="zh-CN"/>
        </w:rPr>
        <w:t>65</w:t>
      </w:r>
    </w:p>
    <w:p>
      <w:pPr>
        <w:pStyle w:val="8"/>
        <w:tabs>
          <w:tab w:val="right" w:leader="dot" w:pos="8306"/>
        </w:tabs>
        <w:rPr>
          <w:rFonts w:hint="default" w:ascii="Times New Roman" w:hAnsi="Times New Roman" w:eastAsia="仿宋" w:cs="Times New Roman"/>
          <w:sz w:val="32"/>
          <w:szCs w:val="32"/>
          <w:lang w:val="en-US"/>
        </w:rPr>
      </w:pPr>
      <w:bookmarkStart w:id="31" w:name="_Toc26440"/>
      <w:bookmarkStart w:id="32" w:name="_Toc8615"/>
      <w:r>
        <w:rPr>
          <w:rFonts w:hint="eastAsia" w:ascii="Times New Roman" w:hAnsi="Times New Roman" w:eastAsia="仿宋" w:cs="Times New Roman"/>
          <w:sz w:val="32"/>
          <w:szCs w:val="32"/>
        </w:rPr>
        <w:t>（二）</w:t>
      </w:r>
      <w:r>
        <w:rPr>
          <w:rFonts w:ascii="Times New Roman" w:hAnsi="Times New Roman" w:eastAsia="仿宋" w:cs="Times New Roman"/>
          <w:sz w:val="32"/>
          <w:szCs w:val="32"/>
        </w:rPr>
        <w:t>预算绩效工作开展情况说明</w:t>
      </w:r>
      <w:bookmarkEnd w:id="31"/>
      <w:bookmarkEnd w:id="32"/>
      <w:r>
        <w:rPr>
          <w:b/>
          <w:bCs/>
          <w:sz w:val="28"/>
          <w:szCs w:val="28"/>
        </w:rPr>
        <w:tab/>
      </w:r>
      <w:r>
        <w:rPr>
          <w:rFonts w:hint="eastAsia"/>
          <w:b/>
          <w:bCs/>
          <w:sz w:val="28"/>
          <w:szCs w:val="28"/>
          <w:lang w:val="en-US" w:eastAsia="zh-CN"/>
        </w:rPr>
        <w:t>75</w:t>
      </w:r>
    </w:p>
    <w:p>
      <w:pPr>
        <w:spacing w:line="600" w:lineRule="exact"/>
        <w:rPr>
          <w:rFonts w:ascii="Times New Roman" w:hAnsi="Times New Roman" w:eastAsia="仿宋" w:cs="Times New Roman"/>
          <w:b/>
          <w:bCs/>
          <w:sz w:val="44"/>
          <w:szCs w:val="44"/>
        </w:rPr>
      </w:pPr>
    </w:p>
    <w:p>
      <w:pPr>
        <w:spacing w:line="600" w:lineRule="exact"/>
        <w:ind w:firstLine="883" w:firstLineChars="200"/>
        <w:jc w:val="center"/>
        <w:rPr>
          <w:rFonts w:hint="eastAsia" w:ascii="宋体" w:hAnsi="宋体" w:eastAsia="宋体" w:cs="宋体"/>
          <w:b/>
          <w:bCs/>
          <w:sz w:val="44"/>
          <w:szCs w:val="44"/>
        </w:rPr>
      </w:pPr>
      <w:bookmarkStart w:id="33" w:name="_Toc8491"/>
      <w:bookmarkStart w:id="34" w:name="_Toc21027"/>
      <w:bookmarkStart w:id="35" w:name="_Toc25783"/>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bookmarkStart w:id="97" w:name="_GoBack"/>
      <w:bookmarkEnd w:id="97"/>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jc w:val="both"/>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r>
        <w:rPr>
          <w:rFonts w:hint="eastAsia" w:ascii="宋体" w:hAnsi="宋体" w:eastAsia="宋体" w:cs="宋体"/>
          <w:b/>
          <w:bCs/>
          <w:sz w:val="44"/>
          <w:szCs w:val="44"/>
        </w:rPr>
        <w:t>专有名词释义</w:t>
      </w:r>
      <w:bookmarkEnd w:id="33"/>
      <w:bookmarkEnd w:id="34"/>
      <w:bookmarkEnd w:id="35"/>
    </w:p>
    <w:p>
      <w:pPr>
        <w:spacing w:line="600" w:lineRule="exact"/>
        <w:ind w:firstLine="883" w:firstLineChars="200"/>
        <w:jc w:val="center"/>
        <w:rPr>
          <w:rFonts w:ascii="Times New Roman" w:hAnsi="Times New Roman" w:eastAsia="仿宋" w:cs="Times New Roman"/>
          <w:b/>
          <w:bCs/>
          <w:sz w:val="44"/>
          <w:szCs w:val="44"/>
        </w:rPr>
      </w:pP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一般公共预算</w:t>
      </w:r>
      <w:r>
        <w:rPr>
          <w:rFonts w:ascii="Times New Roman" w:hAnsi="Times New Roman" w:eastAsia="仿宋" w:cs="Times New Roman"/>
          <w:sz w:val="32"/>
          <w:szCs w:val="32"/>
          <w:lang w:eastAsia="en-US"/>
        </w:rPr>
        <w:t>：一般公共预算突出一般性，收入包括税收收入和纳入公共预算管理的非税收入；支出主要用于保障和改善民生、推动经济社会发展、维持机构正常运转等，在用途上与收入来源没有对应关系。</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政府性基金预算</w:t>
      </w:r>
      <w:r>
        <w:rPr>
          <w:rFonts w:ascii="Times New Roman" w:hAnsi="Times New Roman" w:eastAsia="仿宋" w:cs="Times New Roman"/>
          <w:sz w:val="32"/>
          <w:szCs w:val="32"/>
          <w:lang w:eastAsia="en-US"/>
        </w:rPr>
        <w:t>：政府性基金预算是对依照法律、行政法规的规定在一定期限内向特定对象征收、收取或者以其他方式筹集的资金，专项用于特定公共事业发展的收支预算。政府性基金预算的“特定性、专用性”与一般公共预算的“一般性”形成明显区别。</w:t>
      </w:r>
    </w:p>
    <w:p>
      <w:pPr>
        <w:spacing w:line="600" w:lineRule="exact"/>
        <w:ind w:firstLine="640" w:firstLineChars="200"/>
        <w:rPr>
          <w:rFonts w:ascii="Times New Roman" w:hAnsi="Times New Roman" w:eastAsia="仿宋" w:cs="Times New Roman"/>
          <w:color w:val="0000FF"/>
          <w:sz w:val="32"/>
          <w:szCs w:val="32"/>
          <w:lang w:eastAsia="en-US"/>
        </w:rPr>
      </w:pPr>
      <w:r>
        <w:rPr>
          <w:rFonts w:hint="eastAsia" w:ascii="Times New Roman" w:hAnsi="Times New Roman" w:eastAsia="仿宋" w:cs="Times New Roman"/>
          <w:color w:val="auto"/>
          <w:sz w:val="32"/>
          <w:szCs w:val="32"/>
        </w:rPr>
        <w:t>永吉县</w:t>
      </w:r>
      <w:r>
        <w:rPr>
          <w:rFonts w:ascii="Times New Roman" w:hAnsi="Times New Roman" w:eastAsia="仿宋" w:cs="Times New Roman"/>
          <w:color w:val="auto"/>
          <w:sz w:val="32"/>
          <w:szCs w:val="32"/>
          <w:lang w:eastAsia="en-US"/>
        </w:rPr>
        <w:t>政府性基金包括国家电影事业发展专项</w:t>
      </w:r>
      <w:r>
        <w:rPr>
          <w:rFonts w:hint="eastAsia" w:ascii="Times New Roman" w:hAnsi="Times New Roman" w:eastAsia="仿宋" w:cs="Times New Roman"/>
          <w:color w:val="auto"/>
          <w:sz w:val="32"/>
          <w:szCs w:val="32"/>
        </w:rPr>
        <w:t>资</w:t>
      </w:r>
      <w:r>
        <w:rPr>
          <w:rFonts w:ascii="Times New Roman" w:hAnsi="Times New Roman" w:eastAsia="仿宋" w:cs="Times New Roman"/>
          <w:color w:val="auto"/>
          <w:sz w:val="32"/>
          <w:szCs w:val="32"/>
          <w:lang w:eastAsia="en-US"/>
        </w:rPr>
        <w:t>金</w:t>
      </w:r>
      <w:r>
        <w:rPr>
          <w:rFonts w:hint="eastAsia" w:ascii="Times New Roman" w:hAnsi="Times New Roman" w:eastAsia="仿宋" w:cs="Times New Roman"/>
          <w:color w:val="auto"/>
          <w:sz w:val="32"/>
          <w:szCs w:val="32"/>
        </w:rPr>
        <w:t>、大中型水库移民后期扶持基金、</w:t>
      </w:r>
      <w:r>
        <w:rPr>
          <w:rFonts w:ascii="Times New Roman" w:hAnsi="Times New Roman" w:eastAsia="仿宋" w:cs="Times New Roman"/>
          <w:color w:val="auto"/>
          <w:sz w:val="32"/>
          <w:szCs w:val="32"/>
          <w:lang w:eastAsia="en-US"/>
        </w:rPr>
        <w:t>国有土地使用权出让收入、国有土地收益基金、农业土地开发资金、城市基础设施配套费、污水处理费</w:t>
      </w:r>
      <w:r>
        <w:rPr>
          <w:rFonts w:hint="eastAsia" w:ascii="Times New Roman" w:hAnsi="Times New Roman" w:eastAsia="仿宋" w:cs="Times New Roman"/>
          <w:color w:val="auto"/>
          <w:sz w:val="32"/>
          <w:szCs w:val="32"/>
        </w:rPr>
        <w:t>、大中型水库库区基金、</w:t>
      </w:r>
      <w:r>
        <w:rPr>
          <w:rFonts w:ascii="Times New Roman" w:hAnsi="Times New Roman" w:eastAsia="仿宋" w:cs="Times New Roman"/>
          <w:color w:val="auto"/>
          <w:sz w:val="32"/>
          <w:szCs w:val="32"/>
          <w:lang w:eastAsia="en-US"/>
        </w:rPr>
        <w:t>彩票发行机构和销售机构业务费</w:t>
      </w:r>
      <w:r>
        <w:rPr>
          <w:rFonts w:hint="eastAsia" w:ascii="Times New Roman" w:hAnsi="Times New Roman" w:eastAsia="仿宋" w:cs="Times New Roman"/>
          <w:color w:val="auto"/>
          <w:sz w:val="32"/>
          <w:szCs w:val="32"/>
        </w:rPr>
        <w:t>、</w:t>
      </w:r>
      <w:r>
        <w:rPr>
          <w:rFonts w:ascii="Times New Roman" w:hAnsi="Times New Roman" w:eastAsia="仿宋" w:cs="Times New Roman"/>
          <w:color w:val="auto"/>
          <w:sz w:val="32"/>
          <w:szCs w:val="32"/>
          <w:lang w:eastAsia="en-US"/>
        </w:rPr>
        <w:t>彩票公益</w:t>
      </w:r>
      <w:r>
        <w:rPr>
          <w:rFonts w:hint="eastAsia" w:ascii="Times New Roman" w:hAnsi="Times New Roman" w:eastAsia="仿宋" w:cs="Times New Roman"/>
          <w:color w:val="auto"/>
          <w:sz w:val="32"/>
          <w:szCs w:val="32"/>
          <w:lang w:eastAsia="zh-CN"/>
        </w:rPr>
        <w:t>金等</w:t>
      </w:r>
      <w:r>
        <w:rPr>
          <w:rFonts w:ascii="Times New Roman" w:hAnsi="Times New Roman" w:eastAsia="仿宋" w:cs="Times New Roman"/>
          <w:color w:val="auto"/>
          <w:sz w:val="32"/>
          <w:szCs w:val="32"/>
          <w:lang w:eastAsia="en-US"/>
        </w:rPr>
        <w:t>共</w:t>
      </w:r>
      <w:r>
        <w:rPr>
          <w:rFonts w:hint="eastAsia" w:ascii="Times New Roman" w:hAnsi="Times New Roman" w:eastAsia="仿宋" w:cs="Times New Roman"/>
          <w:color w:val="auto"/>
          <w:sz w:val="32"/>
          <w:szCs w:val="32"/>
        </w:rPr>
        <w:t>10</w:t>
      </w:r>
      <w:r>
        <w:rPr>
          <w:rFonts w:ascii="Times New Roman" w:hAnsi="Times New Roman" w:eastAsia="仿宋" w:cs="Times New Roman"/>
          <w:color w:val="auto"/>
          <w:sz w:val="32"/>
          <w:szCs w:val="32"/>
          <w:lang w:eastAsia="en-US"/>
        </w:rPr>
        <w:t>项</w:t>
      </w:r>
      <w:r>
        <w:rPr>
          <w:rFonts w:hint="eastAsia" w:ascii="Times New Roman" w:hAnsi="Times New Roman" w:eastAsia="仿宋" w:cs="Times New Roman"/>
          <w:color w:val="auto"/>
          <w:sz w:val="32"/>
          <w:szCs w:val="32"/>
        </w:rPr>
        <w:t>。</w:t>
      </w:r>
    </w:p>
    <w:p>
      <w:pPr>
        <w:spacing w:line="600" w:lineRule="exact"/>
        <w:ind w:firstLine="643" w:firstLineChars="200"/>
        <w:rPr>
          <w:rFonts w:ascii="Times New Roman" w:hAnsi="Times New Roman" w:eastAsia="仿宋" w:cs="Times New Roman"/>
          <w:color w:val="auto"/>
          <w:sz w:val="32"/>
          <w:szCs w:val="32"/>
          <w:lang w:eastAsia="en-US"/>
        </w:rPr>
      </w:pPr>
      <w:r>
        <w:rPr>
          <w:rFonts w:ascii="Times New Roman" w:hAnsi="Times New Roman" w:eastAsia="仿宋" w:cs="Times New Roman"/>
          <w:b/>
          <w:bCs/>
          <w:sz w:val="32"/>
          <w:szCs w:val="32"/>
          <w:lang w:eastAsia="en-US"/>
        </w:rPr>
        <w:t>社会保险基金预算</w:t>
      </w:r>
      <w:r>
        <w:rPr>
          <w:rFonts w:ascii="Times New Roman" w:hAnsi="Times New Roman" w:eastAsia="仿宋" w:cs="Times New Roman"/>
          <w:sz w:val="32"/>
          <w:szCs w:val="32"/>
          <w:lang w:eastAsia="en-US"/>
        </w:rPr>
        <w:t>：</w:t>
      </w:r>
      <w:r>
        <w:rPr>
          <w:rFonts w:hint="eastAsia" w:ascii="Times New Roman" w:hAnsi="Times New Roman" w:eastAsia="仿宋" w:cs="Times New Roman"/>
          <w:color w:val="auto"/>
          <w:sz w:val="32"/>
          <w:szCs w:val="32"/>
        </w:rPr>
        <w:t>社会保险基金</w:t>
      </w:r>
      <w:r>
        <w:rPr>
          <w:rFonts w:ascii="Times New Roman" w:hAnsi="Times New Roman" w:eastAsia="仿宋" w:cs="Times New Roman"/>
          <w:color w:val="auto"/>
          <w:sz w:val="32"/>
          <w:szCs w:val="32"/>
          <w:lang w:eastAsia="en-US"/>
        </w:rPr>
        <w:t>是根据国家社会保险和预算管理法律法规建立、反映各项社会保险基金收支的年度计划。社会保险基金预算按照统筹级次和社会保险项目，自下而上分别编制，做到收支平衡。社会保险基金预算包括八项险种：企业职工基本养老保险、城镇职工基本医疗保险、工伤保险、失业保险、生育保险、城乡居民基本养老保险、城乡居民基本医疗保险和机关事业单位基本养老保险</w:t>
      </w:r>
      <w:r>
        <w:rPr>
          <w:rFonts w:hint="eastAsia" w:ascii="Times New Roman" w:hAnsi="Times New Roman" w:eastAsia="仿宋" w:cs="Times New Roman"/>
          <w:color w:val="auto"/>
          <w:sz w:val="32"/>
          <w:szCs w:val="32"/>
          <w:lang w:eastAsia="zh-CN"/>
        </w:rPr>
        <w:t>，我县仅编报城乡居民基本养老保险和机关事业单位基本养老保险两类基金决算</w:t>
      </w:r>
      <w:r>
        <w:rPr>
          <w:rFonts w:ascii="Times New Roman" w:hAnsi="Times New Roman" w:eastAsia="仿宋" w:cs="Times New Roman"/>
          <w:color w:val="auto"/>
          <w:sz w:val="32"/>
          <w:szCs w:val="32"/>
          <w:lang w:eastAsia="en-US"/>
        </w:rPr>
        <w:t>。</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税收收入</w:t>
      </w:r>
      <w:r>
        <w:rPr>
          <w:rFonts w:ascii="Times New Roman" w:hAnsi="Times New Roman" w:eastAsia="仿宋" w:cs="Times New Roman"/>
          <w:sz w:val="32"/>
          <w:szCs w:val="32"/>
          <w:lang w:eastAsia="en-US"/>
        </w:rPr>
        <w:t>：是国家按预定标准，向经济组织和居民征收取得的收入。地方区域内取得的税收收入按照财政体制上划中央和省后形成地方级税收收入，各地相应制定本地财政体制，继续划分为市级、县区级收入。</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非税收入</w:t>
      </w:r>
      <w:r>
        <w:rPr>
          <w:rFonts w:ascii="Times New Roman" w:hAnsi="Times New Roman" w:eastAsia="仿宋" w:cs="Times New Roman"/>
          <w:sz w:val="32"/>
          <w:szCs w:val="32"/>
          <w:lang w:eastAsia="en-US"/>
        </w:rPr>
        <w:t>：是指除税收收入以外，由各级政府、国家机关、事业单位、代行政府职能的社会团体和其他组织依法利用政府权力、政府信誉、国家资源、国有资产或提供特定公共服务、准公共服务取得的财政性资金。主要包括行政事业性收费、罚没收入、国有资源（资产）有偿使用收入及专项收入等。</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转移性收入</w:t>
      </w:r>
      <w:r>
        <w:rPr>
          <w:rFonts w:ascii="Times New Roman" w:hAnsi="Times New Roman" w:eastAsia="仿宋" w:cs="Times New Roman"/>
          <w:sz w:val="32"/>
          <w:szCs w:val="32"/>
          <w:lang w:eastAsia="en-US"/>
        </w:rPr>
        <w:t>：是指上级财政拨付下级财政的转移支付性质的收入。含一般性转移支付收入、返还性收入和专项转移支付收入。</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一般性转移支付</w:t>
      </w:r>
      <w:r>
        <w:rPr>
          <w:rFonts w:ascii="Times New Roman" w:hAnsi="Times New Roman" w:eastAsia="仿宋" w:cs="Times New Roman"/>
          <w:sz w:val="32"/>
          <w:szCs w:val="32"/>
          <w:lang w:eastAsia="en-US"/>
        </w:rPr>
        <w:t>：是指上级政府对下级政府，按照规范的办法给予的补助，即上级根据各地财力情况给予的财力补助。不指定特定用途，下级政府可按需要自主安排支出。</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返还性收入</w:t>
      </w:r>
      <w:r>
        <w:rPr>
          <w:rFonts w:ascii="Times New Roman" w:hAnsi="Times New Roman" w:eastAsia="仿宋" w:cs="Times New Roman"/>
          <w:sz w:val="32"/>
          <w:szCs w:val="32"/>
          <w:lang w:eastAsia="en-US"/>
        </w:rPr>
        <w:t>：是指下级政府收到的上级政府税收返还收入，即上级政府因体制政策调整减少了地方收入，为保证地方既得财力相应给予的补助。下级政府可按需要自主安排支出。</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专项转移支付</w:t>
      </w:r>
      <w:r>
        <w:rPr>
          <w:rFonts w:ascii="Times New Roman" w:hAnsi="Times New Roman" w:eastAsia="仿宋" w:cs="Times New Roman"/>
          <w:sz w:val="32"/>
          <w:szCs w:val="32"/>
          <w:lang w:eastAsia="en-US"/>
        </w:rPr>
        <w:t>：是指上级政府（一般指中央、省、市级政府）为实现特定的宏观政策目标，以及对委托下级政府代理的一些事务进行补偿而设立的专项补助资金，需按规定用途使用。</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调入资金</w:t>
      </w:r>
      <w:r>
        <w:rPr>
          <w:rFonts w:ascii="Times New Roman" w:hAnsi="Times New Roman" w:eastAsia="仿宋" w:cs="Times New Roman"/>
          <w:sz w:val="32"/>
          <w:szCs w:val="32"/>
          <w:lang w:eastAsia="en-US"/>
        </w:rPr>
        <w:t>：是指按规定从政府性基金等其他渠道调入一般公共预算的资金。</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上解支出</w:t>
      </w:r>
      <w:r>
        <w:rPr>
          <w:rFonts w:ascii="Times New Roman" w:hAnsi="Times New Roman" w:eastAsia="仿宋" w:cs="Times New Roman"/>
          <w:sz w:val="32"/>
          <w:szCs w:val="32"/>
          <w:lang w:eastAsia="en-US"/>
        </w:rPr>
        <w:t>：因体制变化需下级政府财力上缴至上级政府的支出。</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预算稳定调节基金</w:t>
      </w:r>
      <w:r>
        <w:rPr>
          <w:rFonts w:ascii="Times New Roman" w:hAnsi="Times New Roman" w:eastAsia="仿宋" w:cs="Times New Roman"/>
          <w:sz w:val="32"/>
          <w:szCs w:val="32"/>
          <w:lang w:eastAsia="en-US"/>
        </w:rPr>
        <w:t>：是指各级财政为保证预算的稳定性，通过超收安排，用于弥补短收年份收支缺口，及视预算平衡情况，在安排年初预算时调入并安排使用的专用基金。</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转移性支出</w:t>
      </w:r>
      <w:r>
        <w:rPr>
          <w:rFonts w:ascii="Times New Roman" w:hAnsi="Times New Roman" w:eastAsia="仿宋" w:cs="Times New Roman"/>
          <w:sz w:val="32"/>
          <w:szCs w:val="32"/>
          <w:lang w:eastAsia="en-US"/>
        </w:rPr>
        <w:t>：对应转移性收入，是指按照规定向下级财政拨付的转移支出性质的资金，包括返还性支出、一般性转移支付支出和专项转移支付支出。</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地方政府债券转贷收入</w:t>
      </w:r>
      <w:r>
        <w:rPr>
          <w:rFonts w:ascii="Times New Roman" w:hAnsi="Times New Roman" w:eastAsia="仿宋" w:cs="Times New Roman"/>
          <w:sz w:val="32"/>
          <w:szCs w:val="32"/>
          <w:lang w:eastAsia="en-US"/>
        </w:rPr>
        <w:t>：是指省政府转贷给长春市政府的债券收入。</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地方政府债券转贷支出</w:t>
      </w:r>
      <w:r>
        <w:rPr>
          <w:rFonts w:ascii="Times New Roman" w:hAnsi="Times New Roman" w:eastAsia="仿宋" w:cs="Times New Roman"/>
          <w:sz w:val="32"/>
          <w:szCs w:val="32"/>
          <w:lang w:eastAsia="en-US"/>
        </w:rPr>
        <w:t>：对应地方政府债券转贷收入，是指省政府转贷给长春市政府的债券支出。</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债务还本支出</w:t>
      </w:r>
      <w:r>
        <w:rPr>
          <w:rFonts w:ascii="Times New Roman" w:hAnsi="Times New Roman" w:eastAsia="仿宋" w:cs="Times New Roman"/>
          <w:sz w:val="32"/>
          <w:szCs w:val="32"/>
          <w:lang w:eastAsia="en-US"/>
        </w:rPr>
        <w:t>：是指用于归还债务本金所发生的支出。</w:t>
      </w:r>
    </w:p>
    <w:p>
      <w:pPr>
        <w:spacing w:line="600" w:lineRule="exact"/>
        <w:ind w:firstLine="640" w:firstLineChars="200"/>
        <w:rPr>
          <w:rFonts w:ascii="Times New Roman" w:hAnsi="Times New Roman" w:eastAsia="仿宋" w:cs="Times New Roman"/>
          <w:sz w:val="32"/>
          <w:szCs w:val="32"/>
          <w:lang w:eastAsia="en-US"/>
        </w:rPr>
      </w:pPr>
    </w:p>
    <w:p>
      <w:pPr>
        <w:spacing w:line="600" w:lineRule="exact"/>
        <w:ind w:firstLine="640" w:firstLineChars="200"/>
        <w:rPr>
          <w:rFonts w:ascii="Times New Roman" w:hAnsi="Times New Roman" w:eastAsia="仿宋" w:cs="Times New Roman"/>
          <w:sz w:val="32"/>
          <w:szCs w:val="32"/>
          <w:lang w:eastAsia="en-US"/>
        </w:rPr>
      </w:pPr>
    </w:p>
    <w:p>
      <w:pPr>
        <w:spacing w:line="600" w:lineRule="exact"/>
        <w:ind w:firstLine="640" w:firstLineChars="200"/>
        <w:rPr>
          <w:rFonts w:ascii="Times New Roman" w:hAnsi="Times New Roman" w:eastAsia="仿宋" w:cs="Times New Roman"/>
          <w:sz w:val="32"/>
          <w:szCs w:val="32"/>
          <w:lang w:eastAsia="en-US"/>
        </w:rPr>
      </w:pPr>
    </w:p>
    <w:p>
      <w:pPr>
        <w:spacing w:line="600" w:lineRule="exact"/>
        <w:ind w:firstLine="640" w:firstLineChars="200"/>
        <w:rPr>
          <w:rFonts w:ascii="Times New Roman" w:hAnsi="Times New Roman" w:eastAsia="仿宋" w:cs="Times New Roman"/>
          <w:sz w:val="32"/>
          <w:szCs w:val="32"/>
          <w:lang w:eastAsia="en-US"/>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pStyle w:val="2"/>
        <w:rPr>
          <w:rFonts w:ascii="Times New Roman" w:hAnsi="Times New Roman" w:eastAsia="仿宋" w:cs="Times New Roman"/>
          <w:sz w:val="32"/>
          <w:szCs w:val="32"/>
        </w:rPr>
      </w:pPr>
    </w:p>
    <w:p>
      <w:pPr>
        <w:rPr>
          <w:rFonts w:ascii="Times New Roman" w:hAnsi="Times New Roman" w:eastAsia="仿宋" w:cs="Times New Roman"/>
          <w:sz w:val="32"/>
          <w:szCs w:val="32"/>
        </w:rPr>
      </w:pPr>
    </w:p>
    <w:p>
      <w:pPr>
        <w:pStyle w:val="2"/>
        <w:rPr>
          <w:rFonts w:ascii="Times New Roman" w:hAnsi="Times New Roman" w:eastAsia="仿宋" w:cs="Times New Roman"/>
          <w:sz w:val="32"/>
          <w:szCs w:val="32"/>
        </w:rPr>
      </w:pPr>
    </w:p>
    <w:p>
      <w:pPr>
        <w:rPr>
          <w:rFonts w:ascii="Times New Roman" w:hAnsi="Times New Roman" w:eastAsia="仿宋" w:cs="Times New Roman"/>
          <w:sz w:val="32"/>
          <w:szCs w:val="32"/>
        </w:rPr>
      </w:pPr>
    </w:p>
    <w:p>
      <w:pPr>
        <w:pStyle w:val="2"/>
        <w:rPr>
          <w:rFonts w:ascii="Times New Roman" w:hAnsi="Times New Roman" w:eastAsia="仿宋" w:cs="Times New Roman"/>
          <w:sz w:val="32"/>
          <w:szCs w:val="32"/>
        </w:rPr>
      </w:pPr>
    </w:p>
    <w:p>
      <w:pPr>
        <w:rPr>
          <w:rFonts w:ascii="Times New Roman" w:hAnsi="Times New Roman" w:eastAsia="仿宋" w:cs="Times New Roman"/>
          <w:sz w:val="32"/>
          <w:szCs w:val="32"/>
        </w:rPr>
      </w:pPr>
    </w:p>
    <w:p>
      <w:pPr>
        <w:pStyle w:val="2"/>
      </w:pPr>
    </w:p>
    <w:p>
      <w:pPr>
        <w:rPr>
          <w:rFonts w:ascii="Times New Roman" w:hAnsi="Times New Roman" w:eastAsia="仿宋" w:cs="Times New Roman"/>
          <w:sz w:val="32"/>
          <w:szCs w:val="32"/>
        </w:rPr>
      </w:pPr>
    </w:p>
    <w:p>
      <w:pPr>
        <w:pStyle w:val="2"/>
      </w:pPr>
    </w:p>
    <w:p>
      <w:pPr>
        <w:spacing w:line="600" w:lineRule="exact"/>
        <w:jc w:val="center"/>
        <w:rPr>
          <w:rFonts w:hint="eastAsia" w:ascii="宋体" w:hAnsi="宋体" w:eastAsia="宋体" w:cs="宋体"/>
          <w:b/>
          <w:bCs/>
          <w:sz w:val="44"/>
          <w:szCs w:val="44"/>
        </w:rPr>
      </w:pPr>
      <w:bookmarkStart w:id="36" w:name="_Toc19331"/>
      <w:bookmarkStart w:id="37" w:name="_Toc2973"/>
      <w:bookmarkStart w:id="38" w:name="_Toc9258"/>
      <w:r>
        <w:rPr>
          <w:rFonts w:hint="eastAsia" w:ascii="宋体" w:hAnsi="宋体" w:eastAsia="宋体" w:cs="宋体"/>
          <w:b/>
          <w:bCs/>
          <w:sz w:val="44"/>
          <w:szCs w:val="44"/>
          <w:lang w:val="en-US" w:eastAsia="zh-CN"/>
        </w:rPr>
        <w:t>2023</w:t>
      </w:r>
      <w:r>
        <w:rPr>
          <w:rFonts w:hint="eastAsia" w:ascii="宋体" w:hAnsi="宋体" w:eastAsia="宋体" w:cs="宋体"/>
          <w:b/>
          <w:bCs/>
          <w:sz w:val="44"/>
          <w:szCs w:val="44"/>
        </w:rPr>
        <w:t>年永吉县一般公共预算收支情况</w:t>
      </w:r>
      <w:bookmarkEnd w:id="36"/>
      <w:bookmarkEnd w:id="37"/>
      <w:bookmarkEnd w:id="38"/>
    </w:p>
    <w:p>
      <w:pPr>
        <w:spacing w:line="600" w:lineRule="exact"/>
        <w:ind w:firstLine="883" w:firstLineChars="200"/>
        <w:jc w:val="center"/>
        <w:rPr>
          <w:rFonts w:hint="eastAsia" w:ascii="宋体" w:hAnsi="宋体" w:eastAsia="宋体" w:cs="宋体"/>
          <w:b/>
          <w:bCs/>
          <w:sz w:val="44"/>
          <w:szCs w:val="44"/>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pP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096"/>
        <w:gridCol w:w="2612"/>
        <w:gridCol w:w="3064"/>
        <w:gridCol w:w="44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2023年度永吉县一般公共预算收支平衡表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0"/>
                <w:szCs w:val="20"/>
                <w:u w:val="none"/>
                <w:lang w:val="en-US" w:eastAsia="zh-CN" w:bidi="ar"/>
              </w:rPr>
              <w:t>决算数</w:t>
            </w:r>
          </w:p>
        </w:tc>
        <w:tc>
          <w:tcPr>
            <w:tcW w:w="10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0"/>
                <w:szCs w:val="20"/>
                <w:u w:val="none"/>
                <w:lang w:val="en-US" w:eastAsia="zh-CN" w:bidi="ar"/>
              </w:rPr>
              <w:t>项目</w:t>
            </w:r>
          </w:p>
        </w:tc>
        <w:tc>
          <w:tcPr>
            <w:tcW w:w="1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 年 收 入 合 计</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53,636</w:t>
            </w:r>
          </w:p>
        </w:tc>
        <w:tc>
          <w:tcPr>
            <w:tcW w:w="10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本 年 支 出 合 计</w:t>
            </w:r>
          </w:p>
        </w:tc>
        <w:tc>
          <w:tcPr>
            <w:tcW w:w="1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333,596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上级补助收入</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252,243</w:t>
            </w:r>
          </w:p>
        </w:tc>
        <w:tc>
          <w:tcPr>
            <w:tcW w:w="10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上解上级支出</w:t>
            </w:r>
          </w:p>
        </w:tc>
        <w:tc>
          <w:tcPr>
            <w:tcW w:w="1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返还性收入</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5,532</w:t>
            </w:r>
          </w:p>
        </w:tc>
        <w:tc>
          <w:tcPr>
            <w:tcW w:w="10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调出资金</w:t>
            </w:r>
          </w:p>
        </w:tc>
        <w:tc>
          <w:tcPr>
            <w:tcW w:w="1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一般性转移支付收入</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225,303</w:t>
            </w:r>
          </w:p>
        </w:tc>
        <w:tc>
          <w:tcPr>
            <w:tcW w:w="10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债务还本支出</w:t>
            </w:r>
          </w:p>
        </w:tc>
        <w:tc>
          <w:tcPr>
            <w:tcW w:w="1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49,834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专项转移支付收入</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21,408</w:t>
            </w:r>
          </w:p>
        </w:tc>
        <w:tc>
          <w:tcPr>
            <w:tcW w:w="10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补充预算周转金</w:t>
            </w:r>
          </w:p>
        </w:tc>
        <w:tc>
          <w:tcPr>
            <w:tcW w:w="1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待偿债再融资一般债券上年结余</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0</w:t>
            </w:r>
          </w:p>
        </w:tc>
        <w:tc>
          <w:tcPr>
            <w:tcW w:w="10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国债转贷拨付数及年终结余</w:t>
            </w:r>
          </w:p>
        </w:tc>
        <w:tc>
          <w:tcPr>
            <w:tcW w:w="1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上年结余收入</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165,843</w:t>
            </w:r>
          </w:p>
        </w:tc>
        <w:tc>
          <w:tcPr>
            <w:tcW w:w="10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安排预算稳定调节基金</w:t>
            </w:r>
          </w:p>
        </w:tc>
        <w:tc>
          <w:tcPr>
            <w:tcW w:w="1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66,481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调入资金</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2,773</w:t>
            </w:r>
          </w:p>
        </w:tc>
        <w:tc>
          <w:tcPr>
            <w:tcW w:w="10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区域间转移性支出</w:t>
            </w:r>
          </w:p>
        </w:tc>
        <w:tc>
          <w:tcPr>
            <w:tcW w:w="1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债务(转贷)收入</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87,740</w:t>
            </w:r>
          </w:p>
        </w:tc>
        <w:tc>
          <w:tcPr>
            <w:tcW w:w="10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计划单列市上解省支出</w:t>
            </w:r>
          </w:p>
        </w:tc>
        <w:tc>
          <w:tcPr>
            <w:tcW w:w="1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国债转贷收入、上年结余及转补助数</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0</w:t>
            </w:r>
          </w:p>
        </w:tc>
        <w:tc>
          <w:tcPr>
            <w:tcW w:w="10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待偿债再融资一般债券结余</w:t>
            </w:r>
          </w:p>
        </w:tc>
        <w:tc>
          <w:tcPr>
            <w:tcW w:w="1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动用预算稳定调节基金</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24,035</w:t>
            </w:r>
          </w:p>
        </w:tc>
        <w:tc>
          <w:tcPr>
            <w:tcW w:w="10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年终结余</w:t>
            </w:r>
          </w:p>
        </w:tc>
        <w:tc>
          <w:tcPr>
            <w:tcW w:w="1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127,904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区域间转移性收入</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0</w:t>
            </w:r>
          </w:p>
        </w:tc>
        <w:tc>
          <w:tcPr>
            <w:tcW w:w="10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减:结转下年的支出</w:t>
            </w:r>
          </w:p>
        </w:tc>
        <w:tc>
          <w:tcPr>
            <w:tcW w:w="1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127,904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省补助计划单列市收入</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0</w:t>
            </w:r>
          </w:p>
        </w:tc>
        <w:tc>
          <w:tcPr>
            <w:tcW w:w="10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净结余</w:t>
            </w:r>
          </w:p>
        </w:tc>
        <w:tc>
          <w:tcPr>
            <w:tcW w:w="1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  入  总  计</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b/>
                <w:bCs/>
                <w:i w:val="0"/>
                <w:iCs w:val="0"/>
                <w:color w:val="000000"/>
                <w:kern w:val="0"/>
                <w:sz w:val="20"/>
                <w:szCs w:val="20"/>
                <w:u w:val="none"/>
                <w:lang w:val="en-US" w:eastAsia="zh-CN" w:bidi="ar"/>
              </w:rPr>
              <w:t>586,270</w:t>
            </w:r>
          </w:p>
        </w:tc>
        <w:tc>
          <w:tcPr>
            <w:tcW w:w="10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0"/>
                <w:szCs w:val="20"/>
                <w:u w:val="none"/>
                <w:lang w:val="en-US" w:eastAsia="zh-CN" w:bidi="ar"/>
              </w:rPr>
              <w:t>支  出  总  计</w:t>
            </w:r>
          </w:p>
        </w:tc>
        <w:tc>
          <w:tcPr>
            <w:tcW w:w="1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586,270</w:t>
            </w:r>
          </w:p>
        </w:tc>
      </w:tr>
    </w:tbl>
    <w:p>
      <w:pPr>
        <w:spacing w:line="600" w:lineRule="exact"/>
        <w:rPr>
          <w:rFonts w:ascii="Times New Roman" w:hAnsi="Times New Roman" w:eastAsia="仿宋" w:cs="Times New Roman"/>
          <w:sz w:val="32"/>
          <w:szCs w:val="32"/>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docGrid w:type="lines" w:linePitch="319" w:charSpace="0"/>
        </w:sectPr>
      </w:pPr>
    </w:p>
    <w:p>
      <w:pPr>
        <w:spacing w:line="600" w:lineRule="exact"/>
        <w:ind w:firstLine="883" w:firstLineChars="200"/>
        <w:jc w:val="both"/>
        <w:rPr>
          <w:rFonts w:hint="eastAsia" w:ascii="宋体" w:hAnsi="宋体" w:eastAsia="宋体" w:cs="宋体"/>
          <w:b/>
          <w:bCs/>
          <w:sz w:val="44"/>
          <w:szCs w:val="44"/>
          <w:lang w:val="en-US" w:eastAsia="zh-CN"/>
        </w:rPr>
      </w:pPr>
      <w:bookmarkStart w:id="39" w:name="_Toc31914"/>
      <w:bookmarkStart w:id="40" w:name="_Toc1042"/>
      <w:bookmarkStart w:id="41" w:name="_Toc18521"/>
    </w:p>
    <w:p>
      <w:pPr>
        <w:spacing w:line="600" w:lineRule="exact"/>
        <w:ind w:firstLine="883" w:firstLineChars="200"/>
        <w:jc w:val="center"/>
        <w:rPr>
          <w:rFonts w:hint="eastAsia" w:ascii="宋体" w:hAnsi="宋体" w:eastAsia="宋体" w:cs="宋体"/>
          <w:b/>
          <w:bCs/>
          <w:sz w:val="44"/>
          <w:szCs w:val="44"/>
          <w:lang w:eastAsia="en-US"/>
        </w:rPr>
      </w:pPr>
      <w:r>
        <w:rPr>
          <w:rFonts w:hint="eastAsia" w:ascii="宋体" w:hAnsi="宋体" w:eastAsia="宋体" w:cs="宋体"/>
          <w:b/>
          <w:bCs/>
          <w:sz w:val="44"/>
          <w:szCs w:val="44"/>
          <w:lang w:val="en-US" w:eastAsia="zh-CN"/>
        </w:rPr>
        <w:t>2023</w:t>
      </w:r>
      <w:r>
        <w:rPr>
          <w:rFonts w:hint="eastAsia" w:ascii="宋体" w:hAnsi="宋体" w:eastAsia="宋体" w:cs="宋体"/>
          <w:b/>
          <w:bCs/>
          <w:sz w:val="44"/>
          <w:szCs w:val="44"/>
          <w:lang w:eastAsia="en-US"/>
        </w:rPr>
        <w:t>年</w:t>
      </w:r>
      <w:r>
        <w:rPr>
          <w:rFonts w:hint="eastAsia" w:ascii="宋体" w:hAnsi="宋体" w:eastAsia="宋体" w:cs="宋体"/>
          <w:b/>
          <w:bCs/>
          <w:sz w:val="44"/>
          <w:szCs w:val="44"/>
        </w:rPr>
        <w:t>永吉县</w:t>
      </w:r>
      <w:r>
        <w:rPr>
          <w:rFonts w:hint="eastAsia" w:ascii="宋体" w:hAnsi="宋体" w:eastAsia="宋体" w:cs="宋体"/>
          <w:b/>
          <w:bCs/>
          <w:sz w:val="44"/>
          <w:szCs w:val="44"/>
          <w:lang w:eastAsia="en-US"/>
        </w:rPr>
        <w:t>一般公共预算</w:t>
      </w:r>
      <w:bookmarkEnd w:id="39"/>
      <w:bookmarkEnd w:id="40"/>
      <w:bookmarkEnd w:id="41"/>
    </w:p>
    <w:p>
      <w:pPr>
        <w:spacing w:line="600" w:lineRule="exact"/>
        <w:ind w:firstLine="883" w:firstLineChars="200"/>
        <w:jc w:val="center"/>
        <w:rPr>
          <w:rFonts w:hint="eastAsia" w:ascii="宋体" w:hAnsi="宋体" w:eastAsia="宋体" w:cs="宋体"/>
          <w:b/>
          <w:bCs/>
          <w:sz w:val="44"/>
          <w:szCs w:val="44"/>
          <w:lang w:eastAsia="en-US"/>
        </w:rPr>
      </w:pPr>
      <w:bookmarkStart w:id="42" w:name="_Toc13408"/>
      <w:bookmarkStart w:id="43" w:name="_Toc10483"/>
      <w:bookmarkStart w:id="44" w:name="_Toc15014"/>
      <w:r>
        <w:rPr>
          <w:rFonts w:hint="eastAsia" w:ascii="宋体" w:hAnsi="宋体" w:eastAsia="宋体" w:cs="宋体"/>
          <w:b/>
          <w:bCs/>
          <w:sz w:val="44"/>
          <w:szCs w:val="44"/>
          <w:lang w:eastAsia="en-US"/>
        </w:rPr>
        <w:t>财政收支平衡表的说明</w:t>
      </w:r>
      <w:bookmarkEnd w:id="42"/>
      <w:bookmarkEnd w:id="43"/>
      <w:bookmarkEnd w:id="44"/>
    </w:p>
    <w:p>
      <w:pPr>
        <w:spacing w:line="600" w:lineRule="exact"/>
        <w:ind w:firstLine="883" w:firstLineChars="200"/>
        <w:jc w:val="center"/>
        <w:rPr>
          <w:rFonts w:ascii="Times New Roman" w:hAnsi="Times New Roman" w:eastAsia="仿宋" w:cs="Times New Roman"/>
          <w:b/>
          <w:bCs/>
          <w:sz w:val="44"/>
          <w:szCs w:val="44"/>
          <w:lang w:eastAsia="en-US"/>
        </w:rPr>
      </w:pPr>
    </w:p>
    <w:p>
      <w:pPr>
        <w:spacing w:line="600" w:lineRule="exact"/>
        <w:ind w:firstLine="640" w:firstLineChars="200"/>
        <w:rPr>
          <w:rFonts w:ascii="Times New Roman" w:hAnsi="Times New Roman" w:eastAsia="仿宋" w:cs="Times New Roman"/>
          <w:b w:val="0"/>
          <w:bCs w:val="0"/>
          <w:color w:val="auto"/>
          <w:sz w:val="32"/>
          <w:szCs w:val="32"/>
          <w:lang w:eastAsia="en-US"/>
        </w:rPr>
      </w:pPr>
      <w:r>
        <w:rPr>
          <w:rFonts w:ascii="Times New Roman" w:hAnsi="Times New Roman" w:eastAsia="仿宋" w:cs="Times New Roman"/>
          <w:b w:val="0"/>
          <w:bCs w:val="0"/>
          <w:color w:val="auto"/>
          <w:sz w:val="32"/>
          <w:szCs w:val="32"/>
          <w:lang w:eastAsia="en-US"/>
        </w:rPr>
        <w:t>本表反映</w:t>
      </w:r>
      <w:r>
        <w:rPr>
          <w:rFonts w:hint="eastAsia" w:ascii="Times New Roman" w:hAnsi="Times New Roman" w:eastAsia="仿宋" w:cs="Times New Roman"/>
          <w:b w:val="0"/>
          <w:bCs w:val="0"/>
          <w:color w:val="auto"/>
          <w:sz w:val="32"/>
          <w:szCs w:val="32"/>
          <w:lang w:val="en-US" w:eastAsia="zh-CN"/>
        </w:rPr>
        <w:t>2023</w:t>
      </w:r>
      <w:r>
        <w:rPr>
          <w:rFonts w:ascii="Times New Roman" w:hAnsi="Times New Roman" w:eastAsia="仿宋" w:cs="Times New Roman"/>
          <w:b w:val="0"/>
          <w:bCs w:val="0"/>
          <w:color w:val="auto"/>
          <w:sz w:val="32"/>
          <w:szCs w:val="32"/>
          <w:lang w:eastAsia="en-US"/>
        </w:rPr>
        <w:t>年度</w:t>
      </w:r>
      <w:r>
        <w:rPr>
          <w:rFonts w:hint="eastAsia" w:ascii="Times New Roman" w:hAnsi="Times New Roman" w:eastAsia="仿宋" w:cs="Times New Roman"/>
          <w:b w:val="0"/>
          <w:bCs w:val="0"/>
          <w:color w:val="auto"/>
          <w:sz w:val="32"/>
          <w:szCs w:val="32"/>
          <w:lang w:eastAsia="en-US"/>
        </w:rPr>
        <w:t>永吉县</w:t>
      </w:r>
      <w:r>
        <w:rPr>
          <w:rFonts w:ascii="Times New Roman" w:hAnsi="Times New Roman" w:eastAsia="仿宋" w:cs="Times New Roman"/>
          <w:b w:val="0"/>
          <w:bCs w:val="0"/>
          <w:color w:val="auto"/>
          <w:sz w:val="32"/>
          <w:szCs w:val="32"/>
          <w:lang w:eastAsia="en-US"/>
        </w:rPr>
        <w:t>一般公共预算各项收入和各项支出的平衡关系。</w:t>
      </w:r>
    </w:p>
    <w:p>
      <w:pPr>
        <w:adjustRightInd w:val="0"/>
        <w:snapToGrid w:val="0"/>
        <w:spacing w:line="576" w:lineRule="exact"/>
        <w:ind w:firstLine="640" w:firstLineChars="200"/>
        <w:rPr>
          <w:rFonts w:eastAsia="仿宋_GB2312"/>
          <w:bCs/>
          <w:sz w:val="32"/>
          <w:szCs w:val="32"/>
        </w:rPr>
      </w:pPr>
      <w:r>
        <w:rPr>
          <w:rFonts w:eastAsia="仿宋_GB2312"/>
          <w:bCs/>
          <w:sz w:val="32"/>
          <w:szCs w:val="32"/>
        </w:rPr>
        <w:t>一般公共预算收入53,636万元，加上上级补助收入252,243万元、转贷地方政府债券收入87,740万元、动用预算稳定调节基金24,035万元、调入资金2,773万元和上年结转收入165,843万元，财政收入总计为586,270万元。一般公共预算支出333,596万元，加上上解上级支出5,383万元、债务还本和转贷支出49,834万元、安排预算稳定调节基金66,481万元，调出资金3,072万元，年终结余127,904万元，支出总量为586,270万元。收支总量相抵，实现收支平衡。</w:t>
      </w:r>
    </w:p>
    <w:p>
      <w:pPr>
        <w:keepNext w:val="0"/>
        <w:keepLines w:val="0"/>
        <w:pageBreakBefore w:val="0"/>
        <w:widowControl w:val="0"/>
        <w:kinsoku/>
        <w:wordWrap/>
        <w:overflowPunct/>
        <w:topLinePunct w:val="0"/>
        <w:autoSpaceDE/>
        <w:autoSpaceDN/>
        <w:bidi w:val="0"/>
        <w:adjustRightInd/>
        <w:snapToGrid/>
        <w:spacing w:line="576" w:lineRule="exact"/>
        <w:ind w:firstLine="440" w:firstLineChars="200"/>
        <w:textAlignment w:val="auto"/>
        <w:rPr>
          <w:rFonts w:hint="eastAsia"/>
          <w:lang w:val="en-US" w:eastAsia="zh-CN"/>
        </w:rPr>
      </w:pPr>
    </w:p>
    <w:p>
      <w:pPr>
        <w:pStyle w:val="4"/>
        <w:rPr>
          <w:rFonts w:hint="eastAsia"/>
          <w:lang w:val="en-US" w:eastAsia="zh-CN"/>
        </w:rPr>
      </w:pPr>
    </w:p>
    <w:p>
      <w:pPr>
        <w:rPr>
          <w:rFonts w:hint="eastAsia"/>
          <w:lang w:val="en-US" w:eastAsia="zh-CN"/>
        </w:rPr>
      </w:pPr>
    </w:p>
    <w:p>
      <w:pPr>
        <w:pStyle w:val="4"/>
        <w:rPr>
          <w:rFonts w:hint="eastAsia"/>
          <w:lang w:val="en-US" w:eastAsia="zh-CN"/>
        </w:rPr>
      </w:pPr>
    </w:p>
    <w:p>
      <w:pPr>
        <w:rPr>
          <w:rFonts w:hint="eastAsia"/>
          <w:lang w:val="en-US" w:eastAsia="zh-CN"/>
        </w:rPr>
      </w:pPr>
    </w:p>
    <w:p>
      <w:pPr>
        <w:pStyle w:val="4"/>
        <w:rPr>
          <w:rFonts w:hint="eastAsia"/>
          <w:lang w:val="en-US" w:eastAsia="zh-CN"/>
        </w:rPr>
      </w:pPr>
    </w:p>
    <w:p>
      <w:pPr>
        <w:pStyle w:val="2"/>
        <w:rPr>
          <w:rFonts w:hint="eastAsia"/>
          <w:lang w:val="en-US" w:eastAsia="zh-CN"/>
        </w:rPr>
      </w:pP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241"/>
        <w:gridCol w:w="1276"/>
        <w:gridCol w:w="1361"/>
        <w:gridCol w:w="1306"/>
        <w:gridCol w:w="13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bookmarkStart w:id="45" w:name="_Toc32319"/>
            <w:bookmarkStart w:id="46" w:name="_Toc22667"/>
            <w:bookmarkStart w:id="47" w:name="_Toc20032"/>
            <w:r>
              <w:rPr>
                <w:rFonts w:hint="eastAsia" w:ascii="宋体" w:hAnsi="宋体" w:eastAsia="宋体" w:cs="宋体"/>
                <w:b/>
                <w:bCs/>
                <w:i w:val="0"/>
                <w:iCs w:val="0"/>
                <w:color w:val="000000"/>
                <w:kern w:val="0"/>
                <w:sz w:val="36"/>
                <w:szCs w:val="36"/>
                <w:u w:val="none"/>
                <w:lang w:val="en-US" w:eastAsia="zh-CN" w:bidi="ar"/>
              </w:rPr>
              <w:t>2023年度永吉县一般公共预算收入完成表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49"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99"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7"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80"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预算科目</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2023年2完成数</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2022年完成数</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比上年增减</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比上年增减变动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一、税收收入</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39,585.00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29,962.00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9,623.00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增值税</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11,580.00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8,117.00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3,463.00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企业所得税</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4,365.00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3,346.00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1,019.00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个人所得税</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673.00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603.00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70.00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资源税</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13,353.00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9,820.00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3,533.00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城市维护建设税</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2,246.00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1,334.00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912.00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房产税</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1,568.00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1,212.00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356.00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印花税</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436.00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417.00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19.00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城镇土地使用税</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786.00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576.00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210.00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土地增值税</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632.00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-248.00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880.00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车船税</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1,810.00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1,623.00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187.00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耕地占用税</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435.00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1,001.00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-566.00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契税</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1,488.00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1,966.00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-478.00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烟叶税</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环境保护税</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207.00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168.00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39.00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其他税收收入</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27.00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-21.00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二、非税收入</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14,051.00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13,161.00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890.00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专项收入</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5,312.00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6,370.00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-1,058.00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行政事业性收费收入</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1,821.00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1,109.00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712.00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罚没收入</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3,707.00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1,915.00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1,792.00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国有资本经营收入</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国有资源(资产)有偿使用收入</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3,204.00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2,300.00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904.00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其他收入</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1,467.00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-1,460.00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 年 收 入 合 计</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53,636.00 </w:t>
            </w:r>
          </w:p>
        </w:tc>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43,123.00 </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10,513.00 </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24.4%</w:t>
            </w:r>
          </w:p>
        </w:tc>
      </w:tr>
    </w:tbl>
    <w:p>
      <w:pPr>
        <w:spacing w:line="600" w:lineRule="exact"/>
        <w:jc w:val="center"/>
        <w:rPr>
          <w:rFonts w:hint="eastAsia" w:ascii="宋体" w:hAnsi="宋体" w:eastAsia="宋体" w:cs="宋体"/>
          <w:b/>
          <w:bCs/>
          <w:sz w:val="44"/>
          <w:szCs w:val="44"/>
          <w:lang w:eastAsia="en-US"/>
        </w:rPr>
      </w:pPr>
      <w:r>
        <w:rPr>
          <w:rFonts w:hint="eastAsia" w:ascii="宋体" w:hAnsi="宋体" w:eastAsia="宋体" w:cs="宋体"/>
          <w:b/>
          <w:bCs/>
          <w:sz w:val="44"/>
          <w:szCs w:val="44"/>
          <w:lang w:val="en-US" w:eastAsia="zh-CN"/>
        </w:rPr>
        <w:t>2023</w:t>
      </w:r>
      <w:r>
        <w:rPr>
          <w:rFonts w:hint="eastAsia" w:ascii="宋体" w:hAnsi="宋体" w:eastAsia="宋体" w:cs="宋体"/>
          <w:b/>
          <w:bCs/>
          <w:sz w:val="44"/>
          <w:szCs w:val="44"/>
          <w:lang w:eastAsia="en-US"/>
        </w:rPr>
        <w:t>年永吉县一般公共预算</w:t>
      </w:r>
      <w:bookmarkEnd w:id="45"/>
      <w:bookmarkEnd w:id="46"/>
      <w:bookmarkEnd w:id="47"/>
    </w:p>
    <w:p>
      <w:pPr>
        <w:spacing w:line="600" w:lineRule="exact"/>
        <w:ind w:firstLine="2650" w:firstLineChars="600"/>
        <w:jc w:val="both"/>
        <w:rPr>
          <w:rFonts w:hint="eastAsia" w:ascii="Times New Roman" w:hAnsi="Times New Roman" w:eastAsia="仿宋" w:cs="Times New Roman"/>
          <w:sz w:val="32"/>
          <w:szCs w:val="32"/>
          <w:lang w:eastAsia="en-US"/>
        </w:rPr>
      </w:pPr>
      <w:bookmarkStart w:id="48" w:name="_Toc7513"/>
      <w:bookmarkStart w:id="49" w:name="_Toc9513"/>
      <w:bookmarkStart w:id="50" w:name="_Toc9851"/>
      <w:r>
        <w:rPr>
          <w:rFonts w:hint="eastAsia" w:ascii="宋体" w:hAnsi="宋体" w:eastAsia="宋体" w:cs="宋体"/>
          <w:b/>
          <w:bCs/>
          <w:sz w:val="44"/>
          <w:szCs w:val="44"/>
          <w:lang w:eastAsia="en-US"/>
        </w:rPr>
        <w:t>收入完成情况</w:t>
      </w:r>
      <w:bookmarkEnd w:id="48"/>
      <w:bookmarkEnd w:id="49"/>
      <w:bookmarkEnd w:id="50"/>
    </w:p>
    <w:p>
      <w:pPr>
        <w:spacing w:line="600" w:lineRule="exact"/>
        <w:ind w:firstLine="640" w:firstLineChars="200"/>
        <w:rPr>
          <w:rFonts w:ascii="Times New Roman" w:hAnsi="Times New Roman" w:eastAsia="仿宋" w:cs="Times New Roman"/>
          <w:sz w:val="32"/>
          <w:szCs w:val="32"/>
          <w:lang w:eastAsia="en-US"/>
        </w:rPr>
      </w:pPr>
      <w:r>
        <w:rPr>
          <w:rFonts w:hint="eastAsia" w:ascii="Times New Roman" w:hAnsi="Times New Roman" w:eastAsia="仿宋" w:cs="Times New Roman"/>
          <w:sz w:val="32"/>
          <w:szCs w:val="32"/>
          <w:lang w:eastAsia="en-US"/>
        </w:rPr>
        <w:t>一般公共预算是对以税收为主体的财政收入，安排用于保障和改善民生、推动经济社会发展、维护国家安全、维持国家机构正常运转等方面的收支预算。一般公共预算收入包括各项税收收入、行政事业性收费收入、国有资源（资产）有偿使用收入和其他收入等。</w:t>
      </w:r>
    </w:p>
    <w:p>
      <w:pPr>
        <w:spacing w:line="600" w:lineRule="exact"/>
        <w:ind w:firstLine="640" w:firstLineChars="200"/>
        <w:rPr>
          <w:rFonts w:ascii="Times New Roman" w:hAnsi="Times New Roman" w:eastAsia="仿宋" w:cs="Times New Roman"/>
          <w:sz w:val="32"/>
          <w:szCs w:val="32"/>
          <w:lang w:eastAsia="en-US"/>
        </w:rPr>
      </w:pPr>
      <w:r>
        <w:rPr>
          <w:rFonts w:hint="eastAsia" w:ascii="Times New Roman" w:hAnsi="Times New Roman" w:eastAsia="仿宋" w:cs="Times New Roman"/>
          <w:sz w:val="32"/>
          <w:szCs w:val="32"/>
        </w:rPr>
        <w:t>永吉县</w:t>
      </w:r>
      <w:r>
        <w:rPr>
          <w:rFonts w:hint="eastAsia" w:ascii="Times New Roman" w:hAnsi="Times New Roman" w:eastAsia="仿宋" w:cs="Times New Roman"/>
          <w:sz w:val="32"/>
          <w:szCs w:val="32"/>
          <w:lang w:eastAsia="en-US"/>
        </w:rPr>
        <w:t>地方级财政收入由</w:t>
      </w:r>
      <w:r>
        <w:rPr>
          <w:rFonts w:hint="eastAsia" w:ascii="Times New Roman" w:hAnsi="Times New Roman" w:eastAsia="仿宋" w:cs="Times New Roman"/>
          <w:sz w:val="32"/>
          <w:szCs w:val="32"/>
        </w:rPr>
        <w:t>永吉县</w:t>
      </w:r>
      <w:r>
        <w:rPr>
          <w:rFonts w:hint="eastAsia" w:ascii="Times New Roman" w:hAnsi="Times New Roman" w:eastAsia="仿宋" w:cs="Times New Roman"/>
          <w:sz w:val="32"/>
          <w:szCs w:val="32"/>
          <w:lang w:eastAsia="en-US"/>
        </w:rPr>
        <w:t>按分税制收入划分比例分享的增值税、企业所得税、个人所得税、房产税、契税</w:t>
      </w:r>
      <w:r>
        <w:rPr>
          <w:rFonts w:hint="eastAsia" w:ascii="Times New Roman" w:hAnsi="Times New Roman" w:eastAsia="仿宋" w:cs="Times New Roman"/>
          <w:sz w:val="32"/>
          <w:szCs w:val="32"/>
        </w:rPr>
        <w:t>、</w:t>
      </w:r>
      <w:r>
        <w:rPr>
          <w:rFonts w:hint="eastAsia" w:ascii="Times New Roman" w:hAnsi="Times New Roman" w:eastAsia="仿宋" w:cs="Times New Roman"/>
          <w:sz w:val="32"/>
          <w:szCs w:val="32"/>
          <w:lang w:eastAsia="en-US"/>
        </w:rPr>
        <w:t>城市维护建设税、印花税、城镇土地使用税、土地增值税等</w:t>
      </w:r>
      <w:r>
        <w:rPr>
          <w:rFonts w:hint="eastAsia" w:ascii="Times New Roman" w:hAnsi="Times New Roman" w:eastAsia="仿宋" w:cs="Times New Roman"/>
          <w:sz w:val="32"/>
          <w:szCs w:val="32"/>
        </w:rPr>
        <w:t>收入</w:t>
      </w:r>
      <w:r>
        <w:rPr>
          <w:rFonts w:hint="eastAsia" w:ascii="Times New Roman" w:hAnsi="Times New Roman" w:eastAsia="仿宋" w:cs="Times New Roman"/>
          <w:sz w:val="32"/>
          <w:szCs w:val="32"/>
          <w:lang w:eastAsia="en-US"/>
        </w:rPr>
        <w:t>，加上</w:t>
      </w:r>
      <w:r>
        <w:rPr>
          <w:rFonts w:hint="eastAsia" w:ascii="Times New Roman" w:hAnsi="Times New Roman" w:eastAsia="仿宋" w:cs="Times New Roman"/>
          <w:sz w:val="32"/>
          <w:szCs w:val="32"/>
        </w:rPr>
        <w:t>预算</w:t>
      </w:r>
      <w:r>
        <w:rPr>
          <w:rFonts w:hint="eastAsia" w:ascii="Times New Roman" w:hAnsi="Times New Roman" w:eastAsia="仿宋" w:cs="Times New Roman"/>
          <w:sz w:val="32"/>
          <w:szCs w:val="32"/>
          <w:lang w:eastAsia="en-US"/>
        </w:rPr>
        <w:t>单位收缴的行政事业性收费和国有资源（资产）有偿使用收入等非税收入构成。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 w:cs="Times New Roman"/>
          <w:color w:val="auto"/>
          <w:sz w:val="32"/>
          <w:szCs w:val="32"/>
          <w:lang w:val="en-US" w:eastAsia="zh-CN"/>
        </w:rPr>
      </w:pPr>
      <w:r>
        <w:rPr>
          <w:rFonts w:hint="default" w:ascii="Times New Roman" w:hAnsi="Times New Roman" w:eastAsia="仿宋_GB2312" w:cs="Times New Roman"/>
          <w:sz w:val="32"/>
          <w:szCs w:val="32"/>
        </w:rPr>
        <w:t>一般公共预算</w:t>
      </w:r>
      <w:r>
        <w:rPr>
          <w:rFonts w:hint="default" w:ascii="Times New Roman" w:hAnsi="Times New Roman" w:eastAsia="仿宋_GB2312" w:cs="Times New Roman"/>
          <w:sz w:val="32"/>
          <w:szCs w:val="32"/>
          <w:lang w:eastAsia="zh-CN"/>
        </w:rPr>
        <w:t>地方级</w:t>
      </w:r>
      <w:r>
        <w:rPr>
          <w:rFonts w:hint="default" w:ascii="Times New Roman" w:hAnsi="Times New Roman" w:eastAsia="仿宋_GB2312" w:cs="Times New Roman"/>
          <w:sz w:val="32"/>
          <w:szCs w:val="32"/>
        </w:rPr>
        <w:t>收入</w:t>
      </w:r>
      <w:r>
        <w:rPr>
          <w:rFonts w:hint="eastAsia" w:ascii="Times New Roman" w:hAnsi="Times New Roman" w:eastAsia="仿宋_GB2312" w:cs="Times New Roman"/>
          <w:sz w:val="32"/>
          <w:szCs w:val="32"/>
          <w:lang w:val="en-US" w:eastAsia="zh-CN"/>
        </w:rPr>
        <w:t>53636</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color w:val="auto"/>
          <w:sz w:val="32"/>
          <w:szCs w:val="32"/>
          <w:lang w:val="en-US" w:eastAsia="zh-CN"/>
        </w:rPr>
        <w:t>同比增加</w:t>
      </w:r>
      <w:r>
        <w:rPr>
          <w:rFonts w:hint="eastAsia" w:eastAsia="仿宋_GB2312" w:cs="Times New Roman"/>
          <w:color w:val="auto"/>
          <w:sz w:val="32"/>
          <w:szCs w:val="32"/>
          <w:lang w:val="en-US" w:eastAsia="zh-CN"/>
        </w:rPr>
        <w:t>10,513</w:t>
      </w:r>
      <w:r>
        <w:rPr>
          <w:rFonts w:hint="default" w:ascii="Times New Roman" w:hAnsi="Times New Roman" w:eastAsia="仿宋_GB2312" w:cs="Times New Roman"/>
          <w:color w:val="auto"/>
          <w:sz w:val="32"/>
          <w:szCs w:val="32"/>
          <w:lang w:val="en-US" w:eastAsia="zh-CN"/>
        </w:rPr>
        <w:t>万元，</w:t>
      </w:r>
      <w:r>
        <w:rPr>
          <w:rFonts w:hint="default" w:ascii="Times New Roman" w:hAnsi="Times New Roman" w:eastAsia="仿宋_GB2312" w:cs="Times New Roman"/>
          <w:sz w:val="32"/>
          <w:szCs w:val="32"/>
          <w:lang w:eastAsia="zh-CN"/>
        </w:rPr>
        <w:t>增长</w:t>
      </w:r>
      <w:r>
        <w:rPr>
          <w:rFonts w:hint="eastAsia" w:eastAsia="仿宋_GB2312" w:cs="Times New Roman"/>
          <w:sz w:val="32"/>
          <w:szCs w:val="32"/>
          <w:lang w:val="en-US" w:eastAsia="zh-CN"/>
        </w:rPr>
        <w:t>24.4</w:t>
      </w:r>
      <w:r>
        <w:rPr>
          <w:rFonts w:hint="default" w:ascii="Times New Roman" w:hAnsi="Times New Roman" w:eastAsia="仿宋_GB2312" w:cs="Times New Roman"/>
          <w:sz w:val="32"/>
          <w:szCs w:val="32"/>
        </w:rPr>
        <w:t>%。其中</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auto"/>
          <w:sz w:val="32"/>
          <w:szCs w:val="32"/>
          <w:lang w:val="en-US" w:eastAsia="zh-CN"/>
        </w:rPr>
        <w:t>税收收入完成</w:t>
      </w:r>
      <w:r>
        <w:rPr>
          <w:rFonts w:hint="eastAsia" w:ascii="Times New Roman" w:hAnsi="Times New Roman" w:eastAsia="仿宋_GB2312" w:cs="Times New Roman"/>
          <w:color w:val="auto"/>
          <w:sz w:val="32"/>
          <w:szCs w:val="32"/>
          <w:lang w:val="en-US" w:eastAsia="zh-CN"/>
        </w:rPr>
        <w:t>39,585</w:t>
      </w:r>
      <w:r>
        <w:rPr>
          <w:rFonts w:hint="default" w:ascii="Times New Roman" w:hAnsi="Times New Roman" w:eastAsia="仿宋_GB2312" w:cs="Times New Roman"/>
          <w:color w:val="auto"/>
          <w:sz w:val="32"/>
          <w:szCs w:val="32"/>
          <w:lang w:val="en-US" w:eastAsia="zh-CN"/>
        </w:rPr>
        <w:t>万元，同比增加</w:t>
      </w:r>
      <w:r>
        <w:rPr>
          <w:rFonts w:hint="eastAsia" w:eastAsia="仿宋_GB2312" w:cs="Times New Roman"/>
          <w:color w:val="auto"/>
          <w:sz w:val="32"/>
          <w:szCs w:val="32"/>
          <w:lang w:val="en-US" w:eastAsia="zh-CN"/>
        </w:rPr>
        <w:t>9,623</w:t>
      </w:r>
      <w:r>
        <w:rPr>
          <w:rFonts w:hint="default" w:ascii="Times New Roman" w:hAnsi="Times New Roman" w:eastAsia="仿宋_GB2312" w:cs="Times New Roman"/>
          <w:color w:val="auto"/>
          <w:sz w:val="32"/>
          <w:szCs w:val="32"/>
          <w:lang w:val="en-US" w:eastAsia="zh-CN"/>
        </w:rPr>
        <w:t>万元，增长</w:t>
      </w:r>
      <w:r>
        <w:rPr>
          <w:rFonts w:hint="eastAsia" w:eastAsia="仿宋_GB2312" w:cs="Times New Roman"/>
          <w:color w:val="auto"/>
          <w:sz w:val="32"/>
          <w:szCs w:val="32"/>
          <w:lang w:val="en-US" w:eastAsia="zh-CN"/>
        </w:rPr>
        <w:t>32.1</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主要</w:t>
      </w:r>
      <w:r>
        <w:rPr>
          <w:rFonts w:hint="default" w:ascii="Times New Roman" w:hAnsi="Times New Roman" w:eastAsia="仿宋_GB2312" w:cs="Times New Roman"/>
          <w:color w:val="auto"/>
          <w:sz w:val="32"/>
          <w:szCs w:val="32"/>
          <w:lang w:eastAsia="zh-CN"/>
        </w:rPr>
        <w:t>为</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eastAsia="zh-CN"/>
        </w:rPr>
        <w:t>一是大黑山钼业有限公司钼产品价格提高且销售额增长</w:t>
      </w:r>
      <w:r>
        <w:rPr>
          <w:rFonts w:hint="eastAsia" w:ascii="Times New Roman" w:hAnsi="Times New Roman" w:eastAsia="仿宋_GB2312" w:cs="Times New Roman"/>
          <w:color w:val="auto"/>
          <w:sz w:val="32"/>
          <w:szCs w:val="32"/>
          <w:lang w:eastAsia="zh-CN"/>
        </w:rPr>
        <w:t>，增值税、企业所得、资源税</w:t>
      </w:r>
      <w:r>
        <w:rPr>
          <w:rFonts w:hint="default" w:ascii="Times New Roman" w:hAnsi="Times New Roman" w:eastAsia="仿宋_GB2312" w:cs="Times New Roman"/>
          <w:color w:val="auto"/>
          <w:sz w:val="32"/>
          <w:szCs w:val="32"/>
          <w:lang w:eastAsia="zh-CN"/>
        </w:rPr>
        <w:t>税收收入增加；二是</w:t>
      </w:r>
      <w:r>
        <w:rPr>
          <w:rFonts w:hint="eastAsia" w:ascii="Times New Roman" w:hAnsi="Times New Roman" w:eastAsia="仿宋_GB2312" w:cs="Times New Roman"/>
          <w:color w:val="auto"/>
          <w:sz w:val="32"/>
          <w:szCs w:val="32"/>
          <w:lang w:eastAsia="zh-CN"/>
        </w:rPr>
        <w:t>制造业缓缴税款入库及留抵退税增收，增值税同比增加</w:t>
      </w:r>
      <w:r>
        <w:rPr>
          <w:rFonts w:hint="default" w:ascii="Times New Roman" w:hAnsi="Times New Roman" w:eastAsia="仿宋_GB2312" w:cs="Times New Roman"/>
          <w:color w:val="auto"/>
          <w:sz w:val="32"/>
          <w:szCs w:val="32"/>
          <w:lang w:eastAsia="zh-CN"/>
        </w:rPr>
        <w:t>；</w:t>
      </w:r>
      <w:r>
        <w:rPr>
          <w:rFonts w:hint="default" w:eastAsia="仿宋_GB2312" w:cs="Times New Roman"/>
          <w:color w:val="auto"/>
          <w:sz w:val="32"/>
          <w:szCs w:val="32"/>
          <w:lang w:val="en-US" w:eastAsia="zh-CN"/>
        </w:rPr>
        <w:t>非税收入完成</w:t>
      </w:r>
      <w:r>
        <w:rPr>
          <w:rFonts w:hint="eastAsia" w:eastAsia="仿宋_GB2312" w:cs="Times New Roman"/>
          <w:color w:val="auto"/>
          <w:sz w:val="32"/>
          <w:szCs w:val="32"/>
          <w:lang w:val="en-US" w:eastAsia="zh-CN"/>
        </w:rPr>
        <w:t>14,051</w:t>
      </w:r>
      <w:r>
        <w:rPr>
          <w:rFonts w:hint="default" w:eastAsia="仿宋_GB2312" w:cs="Times New Roman"/>
          <w:color w:val="auto"/>
          <w:sz w:val="32"/>
          <w:szCs w:val="32"/>
          <w:lang w:val="en-US" w:eastAsia="zh-CN"/>
        </w:rPr>
        <w:t>万元，同比</w:t>
      </w:r>
      <w:r>
        <w:rPr>
          <w:rFonts w:hint="eastAsia" w:eastAsia="仿宋_GB2312" w:cs="Times New Roman"/>
          <w:color w:val="auto"/>
          <w:sz w:val="32"/>
          <w:szCs w:val="32"/>
          <w:lang w:val="en-US" w:eastAsia="zh-CN"/>
        </w:rPr>
        <w:t>增加890</w:t>
      </w:r>
      <w:r>
        <w:rPr>
          <w:rFonts w:hint="default" w:eastAsia="仿宋_GB2312" w:cs="Times New Roman"/>
          <w:color w:val="auto"/>
          <w:sz w:val="32"/>
          <w:szCs w:val="32"/>
          <w:lang w:val="en-US" w:eastAsia="zh-CN"/>
        </w:rPr>
        <w:t>万元，</w:t>
      </w:r>
      <w:r>
        <w:rPr>
          <w:rFonts w:hint="eastAsia" w:eastAsia="仿宋_GB2312" w:cs="Times New Roman"/>
          <w:color w:val="auto"/>
          <w:sz w:val="32"/>
          <w:szCs w:val="32"/>
          <w:lang w:val="en-US" w:eastAsia="zh-CN"/>
        </w:rPr>
        <w:t>增长6.8</w:t>
      </w:r>
      <w:r>
        <w:rPr>
          <w:rFonts w:hint="default" w:eastAsia="仿宋_GB2312" w:cs="Times New Roman"/>
          <w:color w:val="auto"/>
          <w:sz w:val="32"/>
          <w:szCs w:val="32"/>
          <w:lang w:val="en-US" w:eastAsia="zh-CN"/>
        </w:rPr>
        <w:t>%，</w:t>
      </w:r>
      <w:r>
        <w:rPr>
          <w:rFonts w:hint="eastAsia" w:eastAsia="仿宋_GB2312" w:cs="Times New Roman"/>
          <w:color w:val="auto"/>
          <w:sz w:val="32"/>
          <w:szCs w:val="32"/>
          <w:lang w:val="en-US" w:eastAsia="zh-CN"/>
        </w:rPr>
        <w:t>主要</w:t>
      </w:r>
      <w:r>
        <w:rPr>
          <w:rFonts w:hint="default" w:eastAsia="仿宋_GB2312" w:cs="Times New Roman"/>
          <w:color w:val="auto"/>
          <w:sz w:val="32"/>
          <w:szCs w:val="32"/>
          <w:lang w:val="en-US" w:eastAsia="zh-CN"/>
        </w:rPr>
        <w:t>是</w:t>
      </w:r>
      <w:r>
        <w:rPr>
          <w:rFonts w:hint="eastAsia" w:eastAsia="仿宋_GB2312" w:cs="Times New Roman"/>
          <w:color w:val="auto"/>
          <w:sz w:val="32"/>
          <w:szCs w:val="32"/>
          <w:lang w:val="en-US" w:eastAsia="zh-CN"/>
        </w:rPr>
        <w:t>同期</w:t>
      </w:r>
      <w:r>
        <w:rPr>
          <w:rFonts w:hint="default" w:eastAsia="仿宋_GB2312" w:cs="Times New Roman"/>
          <w:color w:val="auto"/>
          <w:sz w:val="32"/>
          <w:szCs w:val="32"/>
          <w:lang w:val="en-US" w:eastAsia="zh-CN"/>
        </w:rPr>
        <w:t>一次性</w:t>
      </w:r>
      <w:r>
        <w:rPr>
          <w:rFonts w:hint="eastAsia" w:eastAsia="仿宋_GB2312" w:cs="Times New Roman"/>
          <w:color w:val="auto"/>
          <w:sz w:val="32"/>
          <w:szCs w:val="32"/>
          <w:lang w:val="en-US" w:eastAsia="zh-CN"/>
        </w:rPr>
        <w:t>罚没</w:t>
      </w:r>
      <w:r>
        <w:rPr>
          <w:rFonts w:hint="default" w:eastAsia="仿宋_GB2312" w:cs="Times New Roman"/>
          <w:color w:val="auto"/>
          <w:sz w:val="32"/>
          <w:szCs w:val="32"/>
          <w:lang w:val="en-US" w:eastAsia="zh-CN"/>
        </w:rPr>
        <w:t>收入</w:t>
      </w:r>
      <w:r>
        <w:rPr>
          <w:rFonts w:hint="eastAsia" w:eastAsia="仿宋_GB2312" w:cs="Times New Roman"/>
          <w:color w:val="auto"/>
          <w:sz w:val="32"/>
          <w:szCs w:val="32"/>
          <w:lang w:val="en-US" w:eastAsia="zh-CN"/>
        </w:rPr>
        <w:t>金额较大</w:t>
      </w:r>
      <w:r>
        <w:rPr>
          <w:rFonts w:hint="default" w:eastAsia="仿宋_GB2312" w:cs="Times New Roman"/>
          <w:color w:val="auto"/>
          <w:sz w:val="32"/>
          <w:szCs w:val="32"/>
          <w:lang w:val="en-US" w:eastAsia="zh-CN"/>
        </w:rPr>
        <w:t>。</w:t>
      </w:r>
    </w:p>
    <w:p>
      <w:pPr>
        <w:rPr>
          <w:rFonts w:hint="default" w:ascii="Times New Roman" w:hAnsi="Times New Roman" w:eastAsia="仿宋" w:cs="Times New Roman"/>
          <w:sz w:val="32"/>
          <w:szCs w:val="32"/>
          <w:lang w:val="en-US" w:eastAsia="zh-CN"/>
        </w:rPr>
      </w:pPr>
    </w:p>
    <w:p>
      <w:pPr>
        <w:pStyle w:val="2"/>
        <w:jc w:val="both"/>
        <w:rPr>
          <w:rFonts w:hint="eastAsia"/>
          <w:lang w:eastAsia="en-US"/>
        </w:rPr>
      </w:pPr>
    </w:p>
    <w:p>
      <w:pPr>
        <w:pStyle w:val="4"/>
        <w:rPr>
          <w:rFonts w:hint="eastAsia"/>
          <w:lang w:eastAsia="en-US"/>
        </w:rPr>
      </w:pPr>
    </w:p>
    <w:tbl>
      <w:tblPr>
        <w:tblStyle w:val="6"/>
        <w:tblW w:w="89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330"/>
        <w:gridCol w:w="1535"/>
        <w:gridCol w:w="1535"/>
        <w:gridCol w:w="1222"/>
        <w:gridCol w:w="13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985" w:type="dxa"/>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2023年度永吉县一般公共预算支出完成表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预算科目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2023完成数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2022完成数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同比增加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同比增长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26,507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17,350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二、外交支出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四、公共安全支出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8,790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39,922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35,746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4,176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75,287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66,955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8,332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23,782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24,182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十、节能环保支出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6,700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5,594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十一、城乡社区支出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24,533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10,952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13,581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十二、农林水支出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82,634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92,977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-10,343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十三、交通运输支出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4,941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17,333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1,413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3,219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十六、金融支出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10,645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14,917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-4,272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1,479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二十一、灾害防治及应急管理支出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二十二、预备费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二十三、其他支出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二十四、债务付息支出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15,615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8,789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6,826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二十五、债务发行费用支出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本 年 支 出 合 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333,596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275,732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57,864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21.0%</w:t>
            </w:r>
          </w:p>
        </w:tc>
      </w:tr>
    </w:tbl>
    <w:p>
      <w:pPr>
        <w:rPr>
          <w:rFonts w:hint="eastAsia"/>
          <w:lang w:eastAsia="en-US"/>
        </w:rPr>
      </w:pPr>
    </w:p>
    <w:p>
      <w:pPr>
        <w:spacing w:line="600" w:lineRule="exact"/>
        <w:ind w:firstLine="883" w:firstLineChars="200"/>
        <w:jc w:val="center"/>
        <w:rPr>
          <w:rFonts w:hint="eastAsia" w:ascii="宋体" w:hAnsi="宋体" w:eastAsia="宋体" w:cs="宋体"/>
          <w:b/>
          <w:bCs/>
          <w:sz w:val="44"/>
          <w:szCs w:val="44"/>
          <w:lang w:val="en-US" w:eastAsia="zh-CN"/>
        </w:rPr>
      </w:pPr>
      <w:bookmarkStart w:id="51" w:name="_Toc16754"/>
      <w:bookmarkStart w:id="52" w:name="_Toc31131"/>
      <w:bookmarkStart w:id="53" w:name="_Toc22462"/>
    </w:p>
    <w:p>
      <w:pPr>
        <w:spacing w:line="600" w:lineRule="exact"/>
        <w:ind w:firstLine="883" w:firstLineChars="200"/>
        <w:jc w:val="center"/>
        <w:rPr>
          <w:rFonts w:hint="eastAsia" w:ascii="宋体" w:hAnsi="宋体" w:eastAsia="宋体" w:cs="宋体"/>
          <w:b/>
          <w:bCs/>
          <w:sz w:val="44"/>
          <w:szCs w:val="44"/>
          <w:lang w:val="en-US" w:eastAsia="zh-CN"/>
        </w:rPr>
      </w:pPr>
    </w:p>
    <w:p>
      <w:pPr>
        <w:spacing w:line="600" w:lineRule="exact"/>
        <w:ind w:firstLine="883" w:firstLineChars="200"/>
        <w:jc w:val="center"/>
        <w:rPr>
          <w:rFonts w:hint="eastAsia" w:ascii="宋体" w:hAnsi="宋体" w:eastAsia="宋体" w:cs="宋体"/>
          <w:b/>
          <w:bCs/>
          <w:sz w:val="44"/>
          <w:szCs w:val="44"/>
          <w:lang w:eastAsia="en-US"/>
        </w:rPr>
      </w:pPr>
      <w:r>
        <w:rPr>
          <w:rFonts w:hint="eastAsia" w:ascii="宋体" w:hAnsi="宋体" w:eastAsia="宋体" w:cs="宋体"/>
          <w:b/>
          <w:bCs/>
          <w:sz w:val="44"/>
          <w:szCs w:val="44"/>
          <w:lang w:val="en-US" w:eastAsia="zh-CN"/>
        </w:rPr>
        <w:t>2023</w:t>
      </w:r>
      <w:r>
        <w:rPr>
          <w:rFonts w:hint="eastAsia" w:ascii="宋体" w:hAnsi="宋体" w:eastAsia="宋体" w:cs="宋体"/>
          <w:b/>
          <w:bCs/>
          <w:sz w:val="44"/>
          <w:szCs w:val="44"/>
          <w:lang w:eastAsia="en-US"/>
        </w:rPr>
        <w:t>年永吉县一般公共预算</w:t>
      </w:r>
      <w:bookmarkEnd w:id="51"/>
      <w:bookmarkEnd w:id="52"/>
      <w:bookmarkEnd w:id="53"/>
      <w:bookmarkStart w:id="54" w:name="_Toc4147"/>
    </w:p>
    <w:p>
      <w:pPr>
        <w:spacing w:line="600" w:lineRule="exact"/>
        <w:ind w:firstLine="883" w:firstLineChars="200"/>
        <w:jc w:val="center"/>
        <w:rPr>
          <w:rFonts w:ascii="仿宋_GB2312" w:eastAsia="仿宋_GB2312"/>
          <w:sz w:val="32"/>
          <w:szCs w:val="32"/>
        </w:rPr>
      </w:pPr>
      <w:bookmarkStart w:id="55" w:name="_Toc5302"/>
      <w:bookmarkStart w:id="56" w:name="_Toc10828"/>
      <w:r>
        <w:rPr>
          <w:rFonts w:hint="eastAsia" w:ascii="宋体" w:hAnsi="宋体" w:eastAsia="宋体" w:cs="宋体"/>
          <w:b/>
          <w:bCs/>
          <w:sz w:val="44"/>
          <w:szCs w:val="44"/>
          <w:lang w:eastAsia="en-US"/>
        </w:rPr>
        <w:t>支出完成情况</w:t>
      </w:r>
      <w:bookmarkEnd w:id="54"/>
      <w:bookmarkEnd w:id="55"/>
      <w:bookmarkEnd w:id="56"/>
    </w:p>
    <w:p>
      <w:pPr>
        <w:adjustRightInd w:val="0"/>
        <w:snapToGrid w:val="0"/>
        <w:spacing w:line="576" w:lineRule="exact"/>
        <w:ind w:firstLine="640" w:firstLineChars="200"/>
        <w:rPr>
          <w:rFonts w:eastAsia="仿宋_GB2312"/>
          <w:bCs/>
          <w:sz w:val="32"/>
          <w:szCs w:val="32"/>
        </w:rPr>
      </w:pPr>
      <w:r>
        <w:rPr>
          <w:rFonts w:eastAsia="仿宋_GB2312"/>
          <w:bCs/>
          <w:sz w:val="32"/>
          <w:szCs w:val="32"/>
        </w:rPr>
        <w:t>一般公共预算支出333,596万元，同比增加57,864万元，增长21%。主要是一般债券项目支出、永吉大桥工程建设及养老保险基金支出增加。</w:t>
      </w:r>
    </w:p>
    <w:p>
      <w:pPr>
        <w:adjustRightInd w:val="0"/>
        <w:snapToGrid w:val="0"/>
        <w:spacing w:line="576" w:lineRule="exact"/>
        <w:ind w:firstLine="640" w:firstLineChars="200"/>
        <w:rPr>
          <w:rFonts w:eastAsia="仿宋_GB2312"/>
          <w:bCs/>
          <w:sz w:val="32"/>
          <w:szCs w:val="32"/>
        </w:rPr>
      </w:pPr>
      <w:r>
        <w:rPr>
          <w:rFonts w:eastAsia="仿宋_GB2312"/>
          <w:bCs/>
          <w:sz w:val="32"/>
          <w:szCs w:val="32"/>
        </w:rPr>
        <w:t>主要支出项目执行情况：一般公共服务支出26,507万元，同比增加9,157万元，增长52.8%，同期国库集中支付结余支出扣除3,683万元，实际支出21,033万元，可比口径增长26%，主要是乡镇经常性工作经费纳入预算，支出相应增加；公共安全支出9,759万元，同比增加969万元，增长11%，主要是机关工资福利及运行维稳经费支出增加；教育支出39,922万元，同比增加4,176万元，增长11.7%，同期国库集中支付结余支出扣除283万元，实际支出36,029万元，可比口径增长10.8%，主要是薄弱能力提升信息化项目支出增加；科学技术支出518万元，同比增加308万元，增长146.7%，主要本期有科技重大专项及研发费用投入补助支出；文化旅游体育与传媒支出2,874万元，同比增加2,087万元，增长265.2%，同期国库集中支付结余支出扣除1,288万元，实际支出2,075万元，可比口径增长38.5%，主要是城市文体广场建设支出增加；社会保障和就业支出75,287万元，同比增加8,332万元，增长12.4%，同期国库集中支付结余支出扣除26万元，实际支出66,981万元，可比口径增长12.4%，主要是行政事业单位养老及财政对基本养老保险基金补助支出增加；卫生健康支出23,782万元，同比减少400万元，下降1.7%，同期国库集中支付结余支出扣除390万元，实际支出24,572万元，可比口径下降3.2%；节能环保支出6,700万元，同比增加5,594万元，增长505.8%，同期国库集中支付结余支出扣除979万元，实际支出2,085万元，可比口径增长221.3%，主要是大气污染防治支出增加；城乡社区支出24,533万元，同比增加13,581万元，增长124%，同期国库集中支付结余支出扣除5,273万元，实际支出16,225万元，可比口径增长51.2%，主要是小城镇基础设施建设支出增加；农林水支出82,634万元，同比减少10,343万元，下降11.1%，同期国库集中支付结余支出扣除6,822万元，实际支出99,799万元，可比口径下降17.2%，主要一是同期拨付以前年度高标准农田建设工程款；二是同期支付一般债券农村饮水安全巩固提升项目资金；三是同期拨付四间水库一般债券项目；四是同期安排水利局城防工程前期费及工程款；交通运输支出4,941万元，同比增加17,333万元，增长139.9%，同期国库集中支付结余支出扣除15,420万元，实际支出3,028万元，可比口径增长63.2%；资源勘探信息等支出4,632万元，同比增加3,219万元，增长227.8%，主要是开发区支持中小企业发展支出增加；商业服务业等支出525万元，同比减少96万元，下降15.5%，主要是同期拨付以前年度产地初加工和商品化预处理建设项目补助资金；自然资源海洋气象等支出802万元，同比减少260万元，下降24.5%，主要是同期拨付17年高标准农田建设项目工程款（17、18年高标准农田建设一部分在自然资源局）；住房保障支出10,645万元，同比减少4,272万元，下降28.6%，同期国库集中支付结余支出扣除860万元，实际支出15,777万元，可比口径下降32.5%，主要是同期拨付棚户区改造项目还本付息2,833万元；粮油物资储备支出2,364万元，同比增加1,479万元，增长167.1%，主要是拨付以前年度粮油产业发展专项补助资金；灾害防治及应急管理支出1,248万元，同比增加308万元，增长32.8%；债务付息支出15,692万元，同比增加6,853万元，增长77.5%。</w:t>
      </w:r>
    </w:p>
    <w:p>
      <w:pPr>
        <w:widowControl w:val="0"/>
        <w:spacing w:line="560" w:lineRule="exact"/>
        <w:ind w:firstLine="640" w:firstLineChars="200"/>
        <w:rPr>
          <w:rFonts w:hint="default" w:eastAsia="仿宋_GB2312"/>
          <w:color w:val="auto"/>
          <w:sz w:val="32"/>
          <w:szCs w:val="32"/>
          <w:lang w:val="en-US" w:eastAsia="zh-CN"/>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pStyle w:val="2"/>
      </w:pPr>
    </w:p>
    <w:p>
      <w:pPr>
        <w:pStyle w:val="4"/>
      </w:pPr>
    </w:p>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93"/>
        <w:gridCol w:w="15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2023年永吉县本级一般公共预算支出完成表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预算科目</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一般公共服务支出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26,507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人大事务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人大会议</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代表工作</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政协事务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政协会议</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委员视察</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政府办公厅(室)及相关机构事务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机关服务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信访事务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其他政府办公厅(室)及相关机构事务支出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发展与改革事务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物价管理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其他发展与改革事务支出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统计信息事务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专项普查活动</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财政国库业务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财政委托业务支出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税收事务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审计事务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审计业务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其他审计事务支出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纪检监察事务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商贸事务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招商引资</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民族事务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其他民族事务支出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档案事务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档案馆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其他档案事务支出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民主党派及工商联事务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群众团体事务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工会事务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其他群众团体事务支出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党委办公厅(室)及相关机构事务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组织事务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公务员事务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其他组织事务支出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宣传事务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其他宣传事务支出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统战事务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宗教事务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华侨事务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其他统战事务支出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其他共产党事务支出(款)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市场监督管理事务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市场主体管理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市场秩序执法</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食品安全监管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其他市场监督管理事务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其他一般公共服务支出(款)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其他一般公共服务支出(项)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国防支出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国防动员</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人民防空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民兵</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公共安全支出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公安</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执法办案</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其他公安支出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司法</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公共法律服务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其他公共安全支出(款)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国家司法救助支出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其他公共安全支出(项)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教育管理事务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其他教育管理事务支出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普通教育</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学前教育</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小学教育</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初中教育</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高中教育</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其他普通教育支出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职业教育</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中等职业教育</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特殊教育</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特殊学校教育</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进修及培训</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教师进修</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干部教育</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教育费附加安排的支出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其他教育费附加安排的支出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其他教育支出(款)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其他教育支出(项)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科学技术支出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科学技术管理事务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其他科学技术管理事务支出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基础研究</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科技人才队伍建设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技术研究与开发</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其他技术研究与开发支出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科技条件与服务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技术创新服务体系</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社会科学</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社会科学研究</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科学技术普及</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科普活动</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科技交流与合作</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其他科技交流与合作支出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科技重大项目</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科技重大专项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其他科学技术支出(款)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其他科学技术支出(项)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文化旅游体育与传媒支出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文化和旅游</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图书馆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文化展示及纪念机构</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群众文化</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文化和旅游市场管理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文化和旅游管理事务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其他文化和旅游支出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文物保护</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博物馆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体育</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体育场馆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群众体育</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其他体育支出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新闻出版电影</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电影</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广播电视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广播电视事务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其他广播电视支出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其他文化旅游体育与传媒支出(款)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其他文化旅游体育与传媒支出(项)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75,287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人力资源和社会保障管理事务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综合业务管理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劳动保障监察</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社会保险经办机构</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劳动关系和维权</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公共就业服务和职业技能鉴定机构</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劳动人事争议调解仲裁</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其他人力资源和社会保障管理事务支出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民政管理事务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行政区划和地名管理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基层政权建设和社区治理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其他民政管理事务支出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行政事业单位养老支出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39,897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行政单位离退休</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事业单位离退休</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机关事业单位职业年金缴费支出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对机关事业单位基本养老保险基金的补助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26,183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企业改革补助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其他企业改革发展补助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就业补助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就业创业服务补贴</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社会保险补贴</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公益性岗位补贴</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就业见习补贴</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促进创业补贴</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抚恤</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死亡抚恤</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伤残抚恤</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在乡复员、退伍军人生活补助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义务兵优待</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农村籍退役士兵老年生活补助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烈士纪念设施管理维护</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其他优抚支出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退役安置</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退役士兵安置</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军队移交政府的离退休人员安置</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军队移交政府离退休干部管理机构</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退役士兵管理教育</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军队转业干部安置</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其他退役安置支出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社会福利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儿童福利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老年福利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殡葬</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社会福利事业单位</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养老服务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其他社会福利支出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残疾人事业</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残疾人康复</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残疾人就业</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残疾人生活和护理补贴</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其他残疾人事业支出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红十字事业</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最低生活保障</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城市最低生活保障金支出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农村最低生活保障金支出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临时救助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临时救助支出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流浪乞讨人员救助支出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特困人员救助供养</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城市特困人员救助供养支出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农村特困人员救助供养支出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其他生活救助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其他城市生活救助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其他农村生活救助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财政对基本养老保险基金的补助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财政对企业职工基本养老保险基金的补助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财政对城乡居民基本养老保险基金的补助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财政对其他基本养老保险基金的补助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退役军人管理事务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拥军优属</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其他退役军人事务管理支出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其他社会保障和就业支出(款)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其他社会保障和就业支出(项)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卫生健康支出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23,782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卫生健康管理事务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其他卫生健康管理事务支出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公立医院</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综合医院</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中医(民族)医院</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妇幼保健医院</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其他公立医院支出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基层医疗卫生机构</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乡镇卫生院</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其他基层医疗卫生机构支出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公共卫生</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疾病预防控制机构</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妇幼保健机构</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基本公共卫生服务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重大公共卫生服务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突发公共卫生事件应急处理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其他公共卫生支出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中医药</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中医(民族医)药专项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计划生育事务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计划生育服务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其他计划生育事务支出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财政对基本医疗保险基金的补助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财政对城乡居民基本医疗保险基金的补助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财政对其他基本医疗保险基金的补助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医疗救助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城乡医疗救助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优抚对象医疗</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优抚对象医疗补助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医疗保障管理事务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医疗保障政策管理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医疗保障经办事务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其他医疗保障管理事务支出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其他卫生健康支出(款)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其他卫生健康支出(项)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节能环保支出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环境保护管理事务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环境监测与监察</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其他环境监测与监察支出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污染防治</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大气</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水体</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固体废弃物与化学品</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其他污染防治支出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自然生态保护</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农村环境保护</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天然林保护</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停伐补助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其他天然林保护支出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能源节约利用(款)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能源节约利用(项)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污染减排</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其他污染减排支出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循环经济(款)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循环经济(项)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城乡社区支出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24,533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城乡社区管理事务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城管执法</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其他城乡社区管理事务支出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城乡社区公共设施</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小城镇基础设施建设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其他城乡社区公共设施支出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城乡社区环境卫生(款)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城乡社区环境卫生(项)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其他城乡社区支出(款)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其他城乡社区支出(项)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农林水支出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82,634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农业农村</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科技转化与推广服务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病虫害控制</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农产品质量安全</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防灾救灾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农业结构调整补贴</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农业生产发展</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农村社会事业</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农业资源保护修复与利用</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农村道路建设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渔业发展</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农田建设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其他农业农村支出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林业和草原</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事业机构</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森林资源培育</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技术推广与转化</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森林资源管理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执法与监督</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产业化管理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林业草原防灾减灾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其他林业和草原支出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32,631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水利行业业务管理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水利工程建设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水利工程运行与维护</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水利执法监督</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水土保持</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水资源节约管理与保护</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防汛</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大中型水库移民后期扶持专项支出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农村供水</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其他水利支出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巩固脱贫攻坚成果衔接乡村振兴</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农村基础设施建设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生产发展</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贷款奖补和贴息</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其他巩固脱贫攻坚成果衔接乡村振兴支出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农村综合改革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对村级公益事业建设的补助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对村民委员会和村党支部的补助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对村集体经济组织的补助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农村综合改革示范试点补助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普惠金融发展支出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农业保险保费补贴</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创业担保贷款贴息及奖补</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其他普惠金融发展支出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目标价格补贴</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其他目标价格补贴</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其他农林水支出(款)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其他农林水支出(项)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交通运输支出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公路水路运输</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公路建设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公路养护</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公路运输管理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车辆购置税支出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车辆购置税用于公路等基础设施建设支出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其他交通运输支出(款)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公共交通运营补助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其他交通运输支出(项)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资源勘探工业信息等支出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工业和信息产业监管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其他工业和信息产业监管支出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支持中小企业发展和管理支出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中小企业发展专项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其他支持中小企业发展和管理支出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其他资源勘探工业信息等支出(款)</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其他资源勘探工业信息等支出(项)</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商业服务业等支出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商业流通事务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其他商业流通事务支出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涉外发展服务支出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其他涉外发展服务支出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金融支出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金融部门监管支出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金融部门其他监管支出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自然资源海洋气象等支出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自然资源事务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自然资源规划及管理</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自然资源利用与保护</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土地资源储备支出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地质矿产资源与环境调查</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其他自然资源事务支出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气象事务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气象服务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其他气象事务支出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住房保障支出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保障性安居工程支出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农村危房改造</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公共租赁住房</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保障性住房租金补贴</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老旧小区改造</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保障性租赁住房</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其他保障性安居工程支出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住房改革支出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粮油物资储备支出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粮油物资事务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其他粮油物资事务支出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重要商品储备</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应急物资储备</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灾害防治及应急管理支出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应急管理事务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安全监管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消防救援事务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其他消防救援事务支出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自然灾害防治</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其他自然灾害防治支出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自然灾害救灾及恢复重建支出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自然灾害救灾补助</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其他自然灾害救灾及恢复重建支出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债务付息支出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地方政府一般债务付息支出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地方政府一般债券付息支出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地方政府向外国政府借款付息支出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地方政府向国际组织借款付息支出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地方政府其他一般债务付息支出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债务发行费用支出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地方政府一般债务发行费用支出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 年 支 出 合 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333,596</w:t>
            </w:r>
          </w:p>
        </w:tc>
      </w:tr>
    </w:tbl>
    <w:p>
      <w:pPr>
        <w:pStyle w:val="2"/>
        <w:rPr>
          <w:rFonts w:ascii="Times New Roman" w:hAnsi="Times New Roman" w:eastAsia="仿宋" w:cs="Times New Roman"/>
          <w:sz w:val="32"/>
          <w:szCs w:val="32"/>
        </w:rPr>
      </w:pPr>
    </w:p>
    <w:p>
      <w:pPr>
        <w:rPr>
          <w:rFonts w:ascii="Times New Roman" w:hAnsi="Times New Roman" w:eastAsia="仿宋" w:cs="Times New Roman"/>
          <w:sz w:val="32"/>
          <w:szCs w:val="32"/>
        </w:rPr>
      </w:pPr>
    </w:p>
    <w:p>
      <w:pPr>
        <w:pStyle w:val="2"/>
        <w:rPr>
          <w:rFonts w:ascii="Times New Roman" w:hAnsi="Times New Roman" w:eastAsia="仿宋" w:cs="Times New Roman"/>
          <w:sz w:val="32"/>
          <w:szCs w:val="32"/>
        </w:rPr>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rPr>
          <w:rFonts w:ascii="Times New Roman" w:hAnsi="Times New Roman" w:eastAsia="仿宋" w:cs="Times New Roman"/>
          <w:sz w:val="32"/>
          <w:szCs w:val="32"/>
        </w:rPr>
      </w:pPr>
    </w:p>
    <w:tbl>
      <w:tblPr>
        <w:tblW w:w="87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395"/>
        <w:gridCol w:w="4605"/>
        <w:gridCol w:w="2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8775" w:type="dxa"/>
            <w:gridSpan w:val="3"/>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bdr w:val="none" w:color="auto" w:sz="0" w:space="0"/>
                <w:lang w:val="en-US" w:eastAsia="zh-CN" w:bidi="ar"/>
              </w:rPr>
              <w:t>2023年永吉县本级一般公共预算基本支出完成表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13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科目编码</w:t>
            </w:r>
          </w:p>
        </w:tc>
        <w:tc>
          <w:tcPr>
            <w:tcW w:w="4605" w:type="dxa"/>
            <w:vMerge w:val="restart"/>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科目名称</w:t>
            </w:r>
          </w:p>
        </w:tc>
        <w:tc>
          <w:tcPr>
            <w:tcW w:w="2775" w:type="dxa"/>
            <w:vMerge w:val="restart"/>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一般公共预算基本支出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13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4605" w:type="dxa"/>
            <w:vMerge w:val="continue"/>
            <w:tcBorders>
              <w:top w:val="single" w:color="000000" w:sz="4" w:space="0"/>
              <w:left w:val="single" w:color="000000" w:sz="4" w:space="0"/>
              <w:bottom w:val="single" w:color="000000" w:sz="4" w:space="0"/>
              <w:right w:val="nil"/>
            </w:tcBorders>
            <w:shd w:val="clear"/>
            <w:vAlign w:val="center"/>
          </w:tcPr>
          <w:p>
            <w:pPr>
              <w:jc w:val="center"/>
              <w:rPr>
                <w:rFonts w:hint="eastAsia" w:ascii="宋体" w:hAnsi="宋体" w:eastAsia="宋体" w:cs="宋体"/>
                <w:b/>
                <w:bCs/>
                <w:i w:val="0"/>
                <w:iCs w:val="0"/>
                <w:color w:val="000000"/>
                <w:sz w:val="20"/>
                <w:szCs w:val="20"/>
                <w:u w:val="none"/>
              </w:rPr>
            </w:pPr>
          </w:p>
        </w:tc>
        <w:tc>
          <w:tcPr>
            <w:tcW w:w="2775" w:type="dxa"/>
            <w:vMerge w:val="continue"/>
            <w:tcBorders>
              <w:top w:val="single" w:color="000000" w:sz="4" w:space="0"/>
              <w:left w:val="single" w:color="000000" w:sz="4" w:space="0"/>
              <w:bottom w:val="single" w:color="000000" w:sz="4" w:space="0"/>
              <w:right w:val="nil"/>
            </w:tcBorders>
            <w:shd w:val="clear"/>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一般公共预算支出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165,965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机关工资福利支出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30,822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50101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工资奖金津补贴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15,594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50102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社会保障缴费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50103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住房公积金</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50199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其他工资福利支出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7,418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机关商品和服务支出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26,360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50201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办公经费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5,571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50202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会议费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50203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培训费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50204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专用材料购置费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50205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委托业务费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50206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公务接待费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50207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因公出国(境)费用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50208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公务用车运行维护费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50209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维修(护)费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50299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其他商品和服务支出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14,096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机关资本性支出(一)</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50301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房屋建筑物购建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50302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基础设施建设</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50303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公务用车购置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50305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土地征迁补偿和安置支出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50306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设备购置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50307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大型修缮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50399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其他资本性支出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机关资本性支出(二)</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50401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房屋建筑物购建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50402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基础设施建设</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50403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公务用车购置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50404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设备购置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50405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大型修缮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50499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其他资本性支出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对事业单位经常性补助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83,757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50501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工资福利支出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64,705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50502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商品和服务支出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18,950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50599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其他对事业单位补助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对事业单位资本性补助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50601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资本性支出(一)</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50602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资本性支出(二)</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对企业补助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50701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费用补贴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50702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利息补贴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50799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其他对企业补助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对企业资本性支出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50803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资本金注入(一)</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50804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资本金注入(二)</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50805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政府投资基金股权投资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50899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其他对企业资本性支出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对个人和家庭的补助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50901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社会福利和救助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22,920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50902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助学金</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50903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个人农业生产补贴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50905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离退休费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50999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其他对个人和家庭补助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对社会保障基金补助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51002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对社会保险基金补助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51003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补充全国社会保障基金</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51004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对机关事业单位职业年金的补助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511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债务利息及费用支出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51101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国内债务付息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51102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国外债务付息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51103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国内债务发行费用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51104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国外债务发行费用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599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59907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国家赔偿费用支出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59908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对民间非营利组织和群众性自治组织补贴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59909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经常性赠与</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59910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资本性赠与</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59999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其他支出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bl>
    <w:p/>
    <w:p>
      <w:pPr>
        <w:pStyle w:val="2"/>
        <w:rPr>
          <w:rFonts w:ascii="Times New Roman" w:hAnsi="Times New Roman" w:eastAsia="仿宋" w:cs="Times New Roman"/>
          <w:sz w:val="32"/>
          <w:szCs w:val="32"/>
        </w:rPr>
      </w:pPr>
    </w:p>
    <w:p>
      <w:pPr>
        <w:spacing w:line="600" w:lineRule="exact"/>
        <w:rPr>
          <w:rFonts w:ascii="Times New Roman" w:hAnsi="Times New Roman" w:eastAsia="仿宋" w:cs="Times New Roman"/>
          <w:sz w:val="32"/>
          <w:szCs w:val="32"/>
        </w:rPr>
        <w:sectPr>
          <w:footerReference r:id="rId6" w:type="default"/>
          <w:pgSz w:w="11906" w:h="16838"/>
          <w:pgMar w:top="1440" w:right="1803" w:bottom="1440" w:left="1803" w:header="851" w:footer="992" w:gutter="0"/>
          <w:pgBorders>
            <w:top w:val="none" w:sz="0" w:space="0"/>
            <w:left w:val="none" w:sz="0" w:space="0"/>
            <w:bottom w:val="none" w:sz="0" w:space="0"/>
            <w:right w:val="none" w:sz="0" w:space="0"/>
          </w:pgBorders>
          <w:pgNumType w:fmt="numberInDash"/>
          <w:cols w:space="0" w:num="1"/>
          <w:docGrid w:type="lines" w:linePitch="319" w:charSpace="0"/>
        </w:sectPr>
      </w:pP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422"/>
        <w:gridCol w:w="1195"/>
        <w:gridCol w:w="1724"/>
        <w:gridCol w:w="1695"/>
        <w:gridCol w:w="1866"/>
        <w:gridCol w:w="2355"/>
        <w:gridCol w:w="29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auto"/>
                <w:kern w:val="0"/>
                <w:sz w:val="40"/>
                <w:szCs w:val="40"/>
                <w:u w:val="none"/>
                <w:lang w:val="en-US" w:eastAsia="zh-CN" w:bidi="ar"/>
              </w:rPr>
              <w:t>2023年永吉县三公经费支出情况表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421" w:type="pct"/>
            <w:tcBorders>
              <w:top w:val="nil"/>
              <w:left w:val="nil"/>
              <w:bottom w:val="nil"/>
              <w:right w:val="nil"/>
            </w:tcBorders>
            <w:shd w:val="clear" w:color="auto" w:fill="auto"/>
            <w:noWrap/>
            <w:vAlign w:val="center"/>
          </w:tcPr>
          <w:p/>
        </w:tc>
        <w:tc>
          <w:tcPr>
            <w:tcW w:w="608" w:type="pct"/>
            <w:tcBorders>
              <w:top w:val="nil"/>
              <w:left w:val="nil"/>
              <w:bottom w:val="nil"/>
              <w:right w:val="nil"/>
            </w:tcBorders>
            <w:shd w:val="clear" w:color="auto" w:fill="auto"/>
            <w:noWrap/>
            <w:vAlign w:val="center"/>
          </w:tcPr>
          <w:p/>
        </w:tc>
        <w:tc>
          <w:tcPr>
            <w:tcW w:w="597" w:type="pct"/>
            <w:tcBorders>
              <w:top w:val="nil"/>
              <w:left w:val="nil"/>
              <w:bottom w:val="nil"/>
              <w:right w:val="nil"/>
            </w:tcBorders>
            <w:shd w:val="clear" w:color="auto" w:fill="auto"/>
            <w:noWrap/>
            <w:vAlign w:val="center"/>
          </w:tcPr>
          <w:p/>
        </w:tc>
        <w:tc>
          <w:tcPr>
            <w:tcW w:w="658" w:type="pct"/>
            <w:tcBorders>
              <w:top w:val="nil"/>
              <w:left w:val="nil"/>
              <w:bottom w:val="nil"/>
              <w:right w:val="nil"/>
            </w:tcBorders>
            <w:shd w:val="clear" w:color="auto" w:fill="auto"/>
            <w:noWrap/>
            <w:vAlign w:val="center"/>
          </w:tcPr>
          <w:p>
            <w:pPr>
              <w:jc w:val="right"/>
            </w:pPr>
          </w:p>
        </w:tc>
        <w:tc>
          <w:tcPr>
            <w:tcW w:w="830" w:type="pct"/>
            <w:tcBorders>
              <w:top w:val="nil"/>
              <w:left w:val="nil"/>
              <w:bottom w:val="nil"/>
              <w:right w:val="nil"/>
            </w:tcBorders>
            <w:shd w:val="clear" w:color="auto" w:fill="auto"/>
            <w:noWrap/>
            <w:vAlign w:val="center"/>
          </w:tcPr>
          <w:p/>
        </w:tc>
        <w:tc>
          <w:tcPr>
            <w:tcW w:w="1028"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854" w:type="pct"/>
            <w:tcBorders>
              <w:top w:val="single" w:color="000000" w:sz="12"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w:t>
            </w:r>
          </w:p>
        </w:tc>
        <w:tc>
          <w:tcPr>
            <w:tcW w:w="421" w:type="pct"/>
            <w:tcBorders>
              <w:top w:val="single" w:color="000000" w:sz="12"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2023年执行数</w:t>
            </w:r>
          </w:p>
        </w:tc>
        <w:tc>
          <w:tcPr>
            <w:tcW w:w="608" w:type="pct"/>
            <w:tcBorders>
              <w:top w:val="single" w:color="000000" w:sz="12"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2022年执行数</w:t>
            </w:r>
          </w:p>
        </w:tc>
        <w:tc>
          <w:tcPr>
            <w:tcW w:w="597" w:type="pct"/>
            <w:tcBorders>
              <w:top w:val="single" w:color="000000" w:sz="12"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同比增减</w:t>
            </w:r>
          </w:p>
        </w:tc>
        <w:tc>
          <w:tcPr>
            <w:tcW w:w="658" w:type="pct"/>
            <w:tcBorders>
              <w:top w:val="single" w:color="000000" w:sz="12"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增减变动</w:t>
            </w:r>
          </w:p>
        </w:tc>
        <w:tc>
          <w:tcPr>
            <w:tcW w:w="830" w:type="pct"/>
            <w:tcBorders>
              <w:top w:val="single" w:color="000000" w:sz="12"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2023年预算安排</w:t>
            </w:r>
          </w:p>
        </w:tc>
        <w:tc>
          <w:tcPr>
            <w:tcW w:w="1028" w:type="pct"/>
            <w:tcBorders>
              <w:top w:val="single" w:color="000000" w:sz="12"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完成预算比例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854"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合 </w:t>
            </w:r>
            <w:r>
              <w:rPr>
                <w:rStyle w:val="12"/>
                <w:lang w:val="en-US" w:eastAsia="zh-CN" w:bidi="ar"/>
              </w:rPr>
              <w:t xml:space="preserve">  计</w:t>
            </w:r>
          </w:p>
        </w:tc>
        <w:tc>
          <w:tcPr>
            <w:tcW w:w="421"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934</w:t>
            </w:r>
          </w:p>
        </w:tc>
        <w:tc>
          <w:tcPr>
            <w:tcW w:w="608"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948</w:t>
            </w:r>
          </w:p>
        </w:tc>
        <w:tc>
          <w:tcPr>
            <w:tcW w:w="597"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-14</w:t>
            </w:r>
          </w:p>
        </w:tc>
        <w:tc>
          <w:tcPr>
            <w:tcW w:w="658"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-1.48%</w:t>
            </w:r>
          </w:p>
        </w:tc>
        <w:tc>
          <w:tcPr>
            <w:tcW w:w="830"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1086</w:t>
            </w:r>
          </w:p>
        </w:tc>
        <w:tc>
          <w:tcPr>
            <w:tcW w:w="1028"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854"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公务用车购置费</w:t>
            </w:r>
          </w:p>
        </w:tc>
        <w:tc>
          <w:tcPr>
            <w:tcW w:w="421"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47</w:t>
            </w:r>
          </w:p>
        </w:tc>
        <w:tc>
          <w:tcPr>
            <w:tcW w:w="608"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0</w:t>
            </w:r>
          </w:p>
        </w:tc>
        <w:tc>
          <w:tcPr>
            <w:tcW w:w="597"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47</w:t>
            </w:r>
          </w:p>
        </w:tc>
        <w:tc>
          <w:tcPr>
            <w:tcW w:w="658"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#DIV/0!</w:t>
            </w:r>
          </w:p>
        </w:tc>
        <w:tc>
          <w:tcPr>
            <w:tcW w:w="830"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72</w:t>
            </w:r>
          </w:p>
        </w:tc>
        <w:tc>
          <w:tcPr>
            <w:tcW w:w="1028"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854"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公务用车维护费</w:t>
            </w:r>
          </w:p>
        </w:tc>
        <w:tc>
          <w:tcPr>
            <w:tcW w:w="421"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806</w:t>
            </w:r>
          </w:p>
        </w:tc>
        <w:tc>
          <w:tcPr>
            <w:tcW w:w="608"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876</w:t>
            </w:r>
          </w:p>
        </w:tc>
        <w:tc>
          <w:tcPr>
            <w:tcW w:w="597"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-70</w:t>
            </w:r>
          </w:p>
        </w:tc>
        <w:tc>
          <w:tcPr>
            <w:tcW w:w="658"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-7.99%</w:t>
            </w:r>
          </w:p>
        </w:tc>
        <w:tc>
          <w:tcPr>
            <w:tcW w:w="830"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914</w:t>
            </w:r>
          </w:p>
        </w:tc>
        <w:tc>
          <w:tcPr>
            <w:tcW w:w="1028"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854"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公务接待费</w:t>
            </w:r>
          </w:p>
        </w:tc>
        <w:tc>
          <w:tcPr>
            <w:tcW w:w="421"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81</w:t>
            </w:r>
          </w:p>
        </w:tc>
        <w:tc>
          <w:tcPr>
            <w:tcW w:w="608"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72</w:t>
            </w:r>
          </w:p>
        </w:tc>
        <w:tc>
          <w:tcPr>
            <w:tcW w:w="597"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9</w:t>
            </w:r>
          </w:p>
        </w:tc>
        <w:tc>
          <w:tcPr>
            <w:tcW w:w="658"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12.50%</w:t>
            </w:r>
          </w:p>
        </w:tc>
        <w:tc>
          <w:tcPr>
            <w:tcW w:w="830"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100</w:t>
            </w:r>
          </w:p>
        </w:tc>
        <w:tc>
          <w:tcPr>
            <w:tcW w:w="1028" w:type="pct"/>
            <w:tcBorders>
              <w:top w:val="single" w:color="000000" w:sz="4" w:space="0"/>
              <w:left w:val="single" w:color="000000" w:sz="12"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854" w:type="pct"/>
            <w:tcBorders>
              <w:top w:val="single" w:color="000000" w:sz="4" w:space="0"/>
              <w:left w:val="single" w:color="000000" w:sz="12" w:space="0"/>
              <w:bottom w:val="single" w:color="000000" w:sz="12"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公务出国</w:t>
            </w:r>
          </w:p>
        </w:tc>
        <w:tc>
          <w:tcPr>
            <w:tcW w:w="421" w:type="pct"/>
            <w:tcBorders>
              <w:top w:val="single" w:color="000000" w:sz="4" w:space="0"/>
              <w:left w:val="single" w:color="000000" w:sz="12" w:space="0"/>
              <w:bottom w:val="single" w:color="000000" w:sz="12"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0</w:t>
            </w:r>
          </w:p>
        </w:tc>
        <w:tc>
          <w:tcPr>
            <w:tcW w:w="608" w:type="pct"/>
            <w:tcBorders>
              <w:top w:val="single" w:color="000000" w:sz="4" w:space="0"/>
              <w:left w:val="single" w:color="000000" w:sz="12" w:space="0"/>
              <w:bottom w:val="single" w:color="000000" w:sz="12"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default" w:ascii="Tahoma" w:hAnsi="Tahoma" w:eastAsia="Tahoma" w:cs="Tahoma"/>
                <w:i w:val="0"/>
                <w:iCs w:val="0"/>
                <w:color w:val="000000"/>
                <w:kern w:val="0"/>
                <w:sz w:val="22"/>
                <w:szCs w:val="22"/>
                <w:u w:val="none"/>
                <w:lang w:val="en-US" w:eastAsia="zh-CN" w:bidi="ar"/>
              </w:rPr>
              <w:t>0</w:t>
            </w:r>
          </w:p>
        </w:tc>
        <w:tc>
          <w:tcPr>
            <w:tcW w:w="597" w:type="pct"/>
            <w:tcBorders>
              <w:top w:val="single" w:color="000000" w:sz="4" w:space="0"/>
              <w:left w:val="single" w:color="000000" w:sz="12" w:space="0"/>
              <w:bottom w:val="single" w:color="000000" w:sz="12"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0</w:t>
            </w:r>
          </w:p>
        </w:tc>
        <w:tc>
          <w:tcPr>
            <w:tcW w:w="658" w:type="pct"/>
            <w:tcBorders>
              <w:top w:val="single" w:color="000000" w:sz="4" w:space="0"/>
              <w:left w:val="single" w:color="000000" w:sz="12" w:space="0"/>
              <w:bottom w:val="single" w:color="000000" w:sz="12"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#DIV/0!</w:t>
            </w:r>
          </w:p>
        </w:tc>
        <w:tc>
          <w:tcPr>
            <w:tcW w:w="830" w:type="pct"/>
            <w:tcBorders>
              <w:top w:val="single" w:color="000000" w:sz="4" w:space="0"/>
              <w:left w:val="single" w:color="000000" w:sz="12" w:space="0"/>
              <w:bottom w:val="single" w:color="000000" w:sz="12"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default" w:ascii="Tahoma" w:hAnsi="Tahoma" w:eastAsia="Tahoma" w:cs="Tahoma"/>
                <w:i w:val="0"/>
                <w:iCs w:val="0"/>
                <w:color w:val="000000"/>
                <w:kern w:val="0"/>
                <w:sz w:val="22"/>
                <w:szCs w:val="22"/>
                <w:u w:val="none"/>
                <w:lang w:val="en-US" w:eastAsia="zh-CN" w:bidi="ar"/>
              </w:rPr>
              <w:t>0</w:t>
            </w:r>
          </w:p>
        </w:tc>
        <w:tc>
          <w:tcPr>
            <w:tcW w:w="1028" w:type="pct"/>
            <w:tcBorders>
              <w:top w:val="single" w:color="000000" w:sz="4" w:space="0"/>
              <w:left w:val="single" w:color="000000" w:sz="12" w:space="0"/>
              <w:bottom w:val="single" w:color="000000" w:sz="12"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#DIV/0!</w:t>
            </w:r>
          </w:p>
        </w:tc>
      </w:tr>
    </w:tbl>
    <w:p>
      <w:pPr>
        <w:spacing w:line="600" w:lineRule="exact"/>
        <w:rPr>
          <w:rFonts w:ascii="Times New Roman" w:hAnsi="Times New Roman" w:eastAsia="仿宋" w:cs="Times New Roman"/>
          <w:sz w:val="32"/>
          <w:szCs w:val="32"/>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docGrid w:type="lines" w:linePitch="319" w:charSpace="0"/>
        </w:sectPr>
      </w:pPr>
    </w:p>
    <w:p>
      <w:pPr>
        <w:spacing w:line="600" w:lineRule="exact"/>
        <w:ind w:firstLine="883" w:firstLineChars="200"/>
        <w:jc w:val="both"/>
        <w:rPr>
          <w:rFonts w:hint="eastAsia" w:ascii="宋体" w:hAnsi="宋体" w:eastAsia="宋体" w:cs="宋体"/>
          <w:b/>
          <w:bCs/>
          <w:color w:val="auto"/>
          <w:sz w:val="44"/>
          <w:szCs w:val="44"/>
          <w:lang w:eastAsia="en-US"/>
        </w:rPr>
      </w:pPr>
      <w:bookmarkStart w:id="57" w:name="_Toc10813"/>
      <w:bookmarkStart w:id="58" w:name="_Toc16279"/>
      <w:r>
        <w:rPr>
          <w:rFonts w:hint="eastAsia" w:ascii="宋体" w:hAnsi="宋体" w:eastAsia="宋体" w:cs="宋体"/>
          <w:b/>
          <w:bCs/>
          <w:color w:val="auto"/>
          <w:sz w:val="44"/>
          <w:szCs w:val="44"/>
          <w:lang w:val="en-US" w:eastAsia="zh-CN"/>
        </w:rPr>
        <w:t>2023</w:t>
      </w:r>
      <w:r>
        <w:rPr>
          <w:rFonts w:hint="eastAsia" w:ascii="宋体" w:hAnsi="宋体" w:eastAsia="宋体" w:cs="宋体"/>
          <w:b/>
          <w:bCs/>
          <w:color w:val="auto"/>
          <w:sz w:val="44"/>
          <w:szCs w:val="44"/>
          <w:lang w:eastAsia="en-US"/>
        </w:rPr>
        <w:t>年永吉县“三公”经费预算</w:t>
      </w:r>
    </w:p>
    <w:p>
      <w:pPr>
        <w:spacing w:line="600" w:lineRule="exact"/>
        <w:ind w:firstLine="2209" w:firstLineChars="500"/>
        <w:jc w:val="both"/>
        <w:rPr>
          <w:rFonts w:hint="eastAsia" w:ascii="宋体" w:hAnsi="宋体" w:eastAsia="宋体" w:cs="宋体"/>
          <w:b/>
          <w:bCs/>
          <w:color w:val="auto"/>
          <w:sz w:val="44"/>
          <w:szCs w:val="44"/>
          <w:lang w:eastAsia="en-US"/>
        </w:rPr>
      </w:pPr>
      <w:r>
        <w:rPr>
          <w:rFonts w:hint="eastAsia" w:ascii="宋体" w:hAnsi="宋体" w:eastAsia="宋体" w:cs="宋体"/>
          <w:b/>
          <w:bCs/>
          <w:color w:val="auto"/>
          <w:sz w:val="44"/>
          <w:szCs w:val="44"/>
          <w:lang w:eastAsia="en-US"/>
        </w:rPr>
        <w:t>安排执行情况</w:t>
      </w:r>
      <w:bookmarkEnd w:id="57"/>
      <w:bookmarkEnd w:id="58"/>
      <w:bookmarkStart w:id="59" w:name="_Toc14789"/>
      <w:bookmarkStart w:id="60" w:name="_Toc3359"/>
      <w:r>
        <w:rPr>
          <w:rFonts w:hint="eastAsia" w:ascii="宋体" w:hAnsi="宋体" w:eastAsia="宋体" w:cs="宋体"/>
          <w:b/>
          <w:bCs/>
          <w:color w:val="auto"/>
          <w:sz w:val="44"/>
          <w:szCs w:val="44"/>
          <w:lang w:eastAsia="en-US"/>
        </w:rPr>
        <w:t>说明</w:t>
      </w:r>
      <w:bookmarkEnd w:id="59"/>
      <w:bookmarkEnd w:id="60"/>
    </w:p>
    <w:p>
      <w:pPr>
        <w:widowControl w:val="0"/>
        <w:spacing w:line="560" w:lineRule="exact"/>
        <w:ind w:firstLine="640" w:firstLineChars="200"/>
        <w:jc w:val="left"/>
        <w:textAlignment w:val="auto"/>
        <w:rPr>
          <w:rFonts w:eastAsia="仿宋_GB2312"/>
          <w:color w:val="auto"/>
          <w:sz w:val="32"/>
          <w:szCs w:val="24"/>
          <w:u w:val="none" w:color="auto"/>
        </w:rPr>
      </w:pPr>
      <w:r>
        <w:rPr>
          <w:rFonts w:eastAsia="仿宋_GB2312"/>
          <w:color w:val="auto"/>
          <w:sz w:val="32"/>
          <w:szCs w:val="24"/>
          <w:u w:val="none" w:color="auto"/>
        </w:rPr>
        <w:t>20</w:t>
      </w:r>
      <w:r>
        <w:rPr>
          <w:rFonts w:hint="eastAsia" w:eastAsia="仿宋_GB2312"/>
          <w:color w:val="auto"/>
          <w:sz w:val="32"/>
          <w:szCs w:val="24"/>
          <w:u w:val="none" w:color="auto"/>
          <w:lang w:val="en-US" w:eastAsia="zh-CN"/>
        </w:rPr>
        <w:t>23</w:t>
      </w:r>
      <w:r>
        <w:rPr>
          <w:rFonts w:eastAsia="仿宋_GB2312"/>
          <w:color w:val="auto"/>
          <w:sz w:val="32"/>
          <w:szCs w:val="24"/>
          <w:u w:val="none" w:color="auto"/>
        </w:rPr>
        <w:t>年，</w:t>
      </w:r>
      <w:r>
        <w:rPr>
          <w:rFonts w:hint="eastAsia" w:eastAsia="仿宋_GB2312"/>
          <w:color w:val="auto"/>
          <w:sz w:val="32"/>
          <w:szCs w:val="24"/>
          <w:u w:val="none" w:color="auto"/>
          <w:lang w:eastAsia="zh-CN"/>
        </w:rPr>
        <w:t>全县</w:t>
      </w:r>
      <w:r>
        <w:rPr>
          <w:rFonts w:eastAsia="仿宋_GB2312"/>
          <w:color w:val="auto"/>
          <w:sz w:val="32"/>
          <w:szCs w:val="24"/>
          <w:u w:val="none" w:color="auto"/>
        </w:rPr>
        <w:t>“三公”经费</w:t>
      </w:r>
      <w:r>
        <w:rPr>
          <w:rFonts w:hint="eastAsia" w:eastAsia="仿宋_GB2312"/>
          <w:color w:val="auto"/>
          <w:sz w:val="32"/>
          <w:szCs w:val="24"/>
          <w:u w:val="none" w:color="auto"/>
          <w:lang w:eastAsia="zh-CN"/>
        </w:rPr>
        <w:t>预算安排</w:t>
      </w:r>
      <w:r>
        <w:rPr>
          <w:rFonts w:hint="eastAsia" w:eastAsia="仿宋_GB2312"/>
          <w:color w:val="auto"/>
          <w:sz w:val="32"/>
          <w:szCs w:val="24"/>
          <w:u w:val="none" w:color="auto"/>
          <w:lang w:val="en-US" w:eastAsia="zh-CN"/>
        </w:rPr>
        <w:t>1086万元，实际</w:t>
      </w:r>
      <w:r>
        <w:rPr>
          <w:rFonts w:eastAsia="仿宋_GB2312"/>
          <w:color w:val="auto"/>
          <w:sz w:val="32"/>
          <w:szCs w:val="24"/>
          <w:u w:val="none" w:color="auto"/>
        </w:rPr>
        <w:t>支出</w:t>
      </w:r>
      <w:r>
        <w:rPr>
          <w:rFonts w:hint="eastAsia" w:eastAsia="仿宋_GB2312"/>
          <w:color w:val="auto"/>
          <w:sz w:val="32"/>
          <w:szCs w:val="24"/>
          <w:u w:val="none" w:color="auto"/>
          <w:lang w:val="en-US" w:eastAsia="zh-CN"/>
        </w:rPr>
        <w:t>934</w:t>
      </w:r>
      <w:r>
        <w:rPr>
          <w:rFonts w:eastAsia="仿宋_GB2312"/>
          <w:color w:val="auto"/>
          <w:sz w:val="32"/>
          <w:szCs w:val="24"/>
          <w:u w:val="none" w:color="auto"/>
        </w:rPr>
        <w:t>万元，</w:t>
      </w:r>
      <w:r>
        <w:rPr>
          <w:rFonts w:hint="eastAsia" w:eastAsia="仿宋_GB2312"/>
          <w:color w:val="auto"/>
          <w:sz w:val="32"/>
          <w:szCs w:val="24"/>
          <w:u w:val="none" w:color="auto"/>
          <w:lang w:eastAsia="zh-CN"/>
        </w:rPr>
        <w:t>同比下降</w:t>
      </w:r>
      <w:r>
        <w:rPr>
          <w:rFonts w:hint="eastAsia" w:eastAsia="仿宋_GB2312"/>
          <w:color w:val="auto"/>
          <w:sz w:val="32"/>
          <w:szCs w:val="24"/>
          <w:u w:val="none" w:color="auto"/>
          <w:lang w:val="en-US" w:eastAsia="zh-CN"/>
        </w:rPr>
        <w:t>1.48%</w:t>
      </w:r>
      <w:r>
        <w:rPr>
          <w:rFonts w:eastAsia="仿宋_GB2312"/>
          <w:color w:val="auto"/>
          <w:sz w:val="32"/>
          <w:szCs w:val="24"/>
          <w:u w:val="none" w:color="auto"/>
        </w:rPr>
        <w:t>，</w:t>
      </w:r>
      <w:r>
        <w:rPr>
          <w:rFonts w:hint="eastAsia" w:eastAsia="仿宋_GB2312"/>
          <w:color w:val="auto"/>
          <w:sz w:val="32"/>
          <w:szCs w:val="24"/>
          <w:u w:val="none" w:color="auto"/>
          <w:lang w:eastAsia="zh-CN"/>
        </w:rPr>
        <w:t>比预算少</w:t>
      </w:r>
      <w:r>
        <w:rPr>
          <w:rFonts w:hint="eastAsia" w:eastAsia="仿宋_GB2312"/>
          <w:color w:val="auto"/>
          <w:sz w:val="32"/>
          <w:szCs w:val="24"/>
          <w:u w:val="none" w:color="auto"/>
          <w:lang w:val="en-US" w:eastAsia="zh-CN"/>
        </w:rPr>
        <w:t>152万元，</w:t>
      </w:r>
      <w:r>
        <w:rPr>
          <w:rFonts w:eastAsia="仿宋_GB2312"/>
          <w:bCs/>
          <w:color w:val="auto"/>
          <w:sz w:val="32"/>
          <w:szCs w:val="24"/>
          <w:u w:val="none" w:color="auto"/>
        </w:rPr>
        <w:t>主要项目支出是：</w:t>
      </w:r>
    </w:p>
    <w:p>
      <w:pPr>
        <w:widowControl w:val="0"/>
        <w:numPr>
          <w:ilvl w:val="0"/>
          <w:numId w:val="0"/>
        </w:numPr>
        <w:spacing w:line="560" w:lineRule="exact"/>
        <w:ind w:firstLine="640" w:firstLineChars="200"/>
        <w:jc w:val="left"/>
        <w:textAlignment w:val="auto"/>
        <w:rPr>
          <w:rFonts w:hint="default" w:eastAsia="仿宋_GB2312"/>
          <w:color w:val="auto"/>
          <w:sz w:val="32"/>
          <w:szCs w:val="24"/>
          <w:u w:val="none" w:color="auto"/>
          <w:lang w:val="en-US" w:eastAsia="zh-CN"/>
        </w:rPr>
      </w:pPr>
      <w:r>
        <w:rPr>
          <w:rFonts w:hint="eastAsia" w:eastAsia="仿宋_GB2312"/>
          <w:color w:val="auto"/>
          <w:sz w:val="32"/>
          <w:szCs w:val="24"/>
          <w:u w:val="none" w:color="auto"/>
          <w:lang w:val="en-US" w:eastAsia="zh-CN"/>
        </w:rPr>
        <w:t>1、本年</w:t>
      </w:r>
      <w:r>
        <w:rPr>
          <w:rFonts w:eastAsia="仿宋_GB2312"/>
          <w:color w:val="auto"/>
          <w:sz w:val="32"/>
          <w:szCs w:val="24"/>
          <w:u w:val="none" w:color="auto"/>
        </w:rPr>
        <w:t>公务用车购置费支出</w:t>
      </w:r>
      <w:r>
        <w:rPr>
          <w:rFonts w:hint="eastAsia" w:eastAsia="仿宋_GB2312"/>
          <w:color w:val="auto"/>
          <w:sz w:val="32"/>
          <w:szCs w:val="24"/>
          <w:u w:val="none" w:color="auto"/>
          <w:lang w:val="en-US" w:eastAsia="zh-CN"/>
        </w:rPr>
        <w:t>47万元，年初预算安排72万元，完成年初预算安排的65.28%；</w:t>
      </w:r>
    </w:p>
    <w:p>
      <w:pPr>
        <w:widowControl w:val="0"/>
        <w:spacing w:line="560" w:lineRule="exact"/>
        <w:ind w:firstLine="640" w:firstLineChars="200"/>
        <w:jc w:val="left"/>
        <w:textAlignment w:val="auto"/>
        <w:rPr>
          <w:rFonts w:hint="default" w:eastAsia="仿宋_GB2312"/>
          <w:color w:val="auto"/>
          <w:sz w:val="32"/>
          <w:szCs w:val="24"/>
          <w:u w:val="none" w:color="auto"/>
          <w:lang w:val="en-US" w:eastAsia="zh-CN"/>
        </w:rPr>
      </w:pPr>
      <w:r>
        <w:rPr>
          <w:rFonts w:eastAsia="仿宋_GB2312"/>
          <w:color w:val="auto"/>
          <w:sz w:val="32"/>
          <w:szCs w:val="24"/>
          <w:u w:val="none" w:color="auto"/>
        </w:rPr>
        <w:t>2、公务用车运行维护费支出</w:t>
      </w:r>
      <w:r>
        <w:rPr>
          <w:rFonts w:hint="eastAsia" w:eastAsia="仿宋_GB2312"/>
          <w:color w:val="auto"/>
          <w:sz w:val="32"/>
          <w:szCs w:val="24"/>
          <w:u w:val="none" w:color="auto"/>
          <w:lang w:val="en-US" w:eastAsia="zh-CN"/>
        </w:rPr>
        <w:t>806</w:t>
      </w:r>
      <w:r>
        <w:rPr>
          <w:rFonts w:eastAsia="仿宋_GB2312"/>
          <w:color w:val="auto"/>
          <w:sz w:val="32"/>
          <w:szCs w:val="24"/>
          <w:u w:val="none" w:color="auto"/>
        </w:rPr>
        <w:t>万元</w:t>
      </w:r>
      <w:r>
        <w:rPr>
          <w:rFonts w:hint="eastAsia" w:eastAsia="仿宋_GB2312"/>
          <w:color w:val="auto"/>
          <w:sz w:val="32"/>
          <w:szCs w:val="24"/>
          <w:u w:val="none" w:color="auto"/>
          <w:lang w:eastAsia="zh-CN"/>
        </w:rPr>
        <w:t>，年初预算安排</w:t>
      </w:r>
      <w:r>
        <w:rPr>
          <w:rFonts w:hint="eastAsia" w:eastAsia="仿宋_GB2312"/>
          <w:color w:val="auto"/>
          <w:sz w:val="32"/>
          <w:szCs w:val="24"/>
          <w:u w:val="none" w:color="auto"/>
          <w:lang w:val="en-US" w:eastAsia="zh-CN"/>
        </w:rPr>
        <w:t>914万元</w:t>
      </w:r>
      <w:r>
        <w:rPr>
          <w:rFonts w:hint="eastAsia" w:eastAsia="仿宋_GB2312"/>
          <w:color w:val="auto"/>
          <w:sz w:val="32"/>
          <w:szCs w:val="24"/>
          <w:u w:val="none" w:color="auto"/>
          <w:lang w:eastAsia="zh-CN"/>
        </w:rPr>
        <w:t>，完成年初预算安排的</w:t>
      </w:r>
      <w:r>
        <w:rPr>
          <w:rFonts w:hint="eastAsia" w:eastAsia="仿宋_GB2312"/>
          <w:color w:val="auto"/>
          <w:sz w:val="32"/>
          <w:szCs w:val="24"/>
          <w:u w:val="none" w:color="auto"/>
          <w:lang w:val="en-US" w:eastAsia="zh-CN"/>
        </w:rPr>
        <w:t>88.18%；</w:t>
      </w:r>
    </w:p>
    <w:p>
      <w:pPr>
        <w:widowControl w:val="0"/>
        <w:spacing w:line="560" w:lineRule="exact"/>
        <w:ind w:firstLine="640" w:firstLineChars="200"/>
        <w:jc w:val="left"/>
        <w:textAlignment w:val="auto"/>
        <w:rPr>
          <w:rFonts w:hint="default" w:eastAsia="仿宋_GB2312"/>
          <w:color w:val="auto"/>
          <w:sz w:val="32"/>
          <w:szCs w:val="24"/>
          <w:u w:val="none" w:color="auto"/>
          <w:lang w:val="en-US"/>
        </w:rPr>
      </w:pPr>
      <w:r>
        <w:rPr>
          <w:rFonts w:eastAsia="仿宋_GB2312"/>
          <w:color w:val="auto"/>
          <w:sz w:val="32"/>
          <w:szCs w:val="24"/>
          <w:u w:val="none" w:color="auto"/>
        </w:rPr>
        <w:t>3、公务接待费支出</w:t>
      </w:r>
      <w:r>
        <w:rPr>
          <w:rFonts w:hint="eastAsia" w:eastAsia="仿宋_GB2312"/>
          <w:color w:val="auto"/>
          <w:sz w:val="32"/>
          <w:szCs w:val="24"/>
          <w:u w:val="none" w:color="auto"/>
          <w:lang w:val="en-US" w:eastAsia="zh-CN"/>
        </w:rPr>
        <w:t>81</w:t>
      </w:r>
      <w:r>
        <w:rPr>
          <w:rFonts w:eastAsia="仿宋_GB2312"/>
          <w:color w:val="auto"/>
          <w:sz w:val="32"/>
          <w:szCs w:val="24"/>
          <w:u w:val="none" w:color="auto"/>
        </w:rPr>
        <w:t>万元</w:t>
      </w:r>
      <w:r>
        <w:rPr>
          <w:rFonts w:hint="eastAsia" w:eastAsia="仿宋_GB2312"/>
          <w:color w:val="auto"/>
          <w:sz w:val="32"/>
          <w:szCs w:val="24"/>
          <w:u w:val="none" w:color="auto"/>
          <w:lang w:eastAsia="zh-CN"/>
        </w:rPr>
        <w:t>，年初预算安排</w:t>
      </w:r>
      <w:r>
        <w:rPr>
          <w:rFonts w:hint="eastAsia" w:eastAsia="仿宋_GB2312"/>
          <w:color w:val="auto"/>
          <w:sz w:val="32"/>
          <w:szCs w:val="24"/>
          <w:u w:val="none" w:color="auto"/>
          <w:lang w:val="en-US" w:eastAsia="zh-CN"/>
        </w:rPr>
        <w:t>100万元，完成年初预算安排的81%；</w:t>
      </w:r>
    </w:p>
    <w:p>
      <w:pPr>
        <w:widowControl w:val="0"/>
        <w:spacing w:line="560" w:lineRule="exact"/>
        <w:ind w:firstLine="672" w:firstLineChars="210"/>
        <w:jc w:val="left"/>
        <w:textAlignment w:val="auto"/>
        <w:rPr>
          <w:rFonts w:eastAsia="仿宋_GB2312"/>
          <w:color w:val="auto"/>
          <w:sz w:val="32"/>
          <w:szCs w:val="24"/>
          <w:u w:val="none" w:color="auto"/>
        </w:rPr>
      </w:pPr>
      <w:r>
        <w:rPr>
          <w:rFonts w:eastAsia="仿宋_GB2312"/>
          <w:color w:val="auto"/>
          <w:sz w:val="32"/>
          <w:szCs w:val="24"/>
          <w:u w:val="none" w:color="auto"/>
        </w:rPr>
        <w:t>4、本年</w:t>
      </w:r>
      <w:r>
        <w:rPr>
          <w:rFonts w:hint="eastAsia" w:eastAsia="仿宋_GB2312"/>
          <w:color w:val="auto"/>
          <w:sz w:val="32"/>
          <w:szCs w:val="24"/>
          <w:u w:val="none" w:color="auto"/>
          <w:lang w:eastAsia="zh-CN"/>
        </w:rPr>
        <w:t>未</w:t>
      </w:r>
      <w:r>
        <w:rPr>
          <w:rFonts w:eastAsia="仿宋_GB2312"/>
          <w:color w:val="auto"/>
          <w:sz w:val="32"/>
          <w:szCs w:val="24"/>
          <w:u w:val="none" w:color="auto"/>
        </w:rPr>
        <w:t>发生因公出国经费支出。</w:t>
      </w:r>
    </w:p>
    <w:p>
      <w:pPr>
        <w:spacing w:line="600" w:lineRule="exact"/>
        <w:ind w:firstLine="640" w:firstLineChars="200"/>
        <w:rPr>
          <w:rFonts w:ascii="Times New Roman" w:hAnsi="Times New Roman" w:eastAsia="仿宋" w:cs="Times New Roman"/>
          <w:sz w:val="32"/>
          <w:szCs w:val="32"/>
        </w:rPr>
      </w:pPr>
    </w:p>
    <w:p>
      <w:pPr>
        <w:widowControl/>
        <w:textAlignment w:val="center"/>
        <w:rPr>
          <w:rFonts w:ascii="宋体" w:hAnsi="宋体" w:eastAsia="宋体" w:cs="宋体"/>
          <w:b/>
          <w:kern w:val="0"/>
          <w:sz w:val="36"/>
          <w:szCs w:val="36"/>
          <w:lang w:bidi="ar"/>
        </w:rPr>
        <w:sectPr>
          <w:pgSz w:w="11906" w:h="16838"/>
          <w:pgMar w:top="1440" w:right="1803" w:bottom="1440" w:left="1803" w:header="851" w:footer="992" w:gutter="0"/>
          <w:pgBorders>
            <w:top w:val="none" w:sz="0" w:space="0"/>
            <w:left w:val="none" w:sz="0" w:space="0"/>
            <w:bottom w:val="none" w:sz="0" w:space="0"/>
            <w:right w:val="none" w:sz="0" w:space="0"/>
          </w:pgBorders>
          <w:pgNumType w:fmt="numberInDash"/>
          <w:cols w:space="0" w:num="1"/>
          <w:docGrid w:type="lines" w:linePitch="319" w:charSpace="0"/>
        </w:sectPr>
      </w:pP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92"/>
        <w:gridCol w:w="1264"/>
        <w:gridCol w:w="5145"/>
        <w:gridCol w:w="12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2023年永吉县一般公共预算税收返还和转移支付表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预算科目</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决算数</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预算科目</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一、返还性收入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5,532</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外交</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所得税基数返还收入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298</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国防</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成品油税费改革税收返还收入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公共安全</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增值税税收返还收入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2,607</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教育</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消费税税收返还收入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科学技术</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增值税“五五分享”税收返还收入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2,483</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文化旅游体育与传媒</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其他返还性收入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社会保障和就业</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二、一般性转移支付收入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225,303</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卫生健康</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体制补助收入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节能环保</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均衡性转移支付收入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42,353</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城乡社区</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县级基本财力保障机制奖补资金收入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24,497</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农林水</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结算补助收入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5,048</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交通运输</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资源枯竭型城市转移支付补助收入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资源勘探工业信息等</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企业事业单位划转补助收入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商业服务业等</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产粮(油)大县奖励资金收入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4,270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金融</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重点生态功能区转移支付收入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自然资源海洋气象等</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固定数额补助收入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27,769</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住房保障</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革命老区转移支付收入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粮油物资储备</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民族地区转移支付收入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灾害防治及应急管理</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边境地区转移支付收入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其他收入</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巩固脱贫攻坚成果衔接乡村振兴转移支付收入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4,270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四、债务(转贷)收入</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87,740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一般公共服务共同财政事权转移支付收入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地方政府一般债券(转贷)收入</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87,740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外交共同财政事权转移支付收入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地方政府向外国政府借款(转贷)收入</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国防共同财政事权转移支付收入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地方政府向国际组织借款(转贷)收入</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公共安全共同财政事权转移支付收入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1,902</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地方政府其他一般债务(转贷)收入</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教育共同财政事权转移支付收入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7,487</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五、调入资金</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科学技术共同财政事权转移支付收入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从政府性基金预算调入 </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文化旅游体育与传媒共同财政事权转移支付收入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1,081</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从国有资本经营预算调入</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社会保障和就业共同财政事权转移支付收入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29,608</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从其他资金调入</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医疗卫生共同财政事权转移支付收入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6,347</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六、区域间转移性收入</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节能环保共同财政事权转移支付收入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2,156</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接受其他地区援助收入</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城乡社区共同财政事权转移支付收入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生态保护补偿转移性收入</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农林水共同财政事权转移支付收入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63,474</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土地指标调剂转移性收入</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交通运输共同财政事权转移支付收入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2,698</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其他转移性收入</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资源勘探工业信息等共同财政事权转移支付收入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七、上解上级支出</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商业服务业等共同财政事权转移支付收入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体制上解支出</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金融共同财政事权转移支付收入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专项上解支出</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自然资源海洋气象等共同财政事权转移支付收入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八、债务还本支出</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49,834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住房保障共同财政事权转移支付收入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1,505</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地方政府一般债券还本支出</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粮油物资储备共同财政事权转移支付收入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地方政府向外国政府借款还本支出</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灾害防治及应急管理共同财政事权转移支付收入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地方政府向国际组织借款还本支出</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其他共同财政事权转移支付收入  </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地方政府其他一般债务还本支出</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增值税留抵退税转移支付收入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676</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九、区域间转移性支出</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其他退税减税降费转移支付收入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援助其他地区支出</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补充县区财力转移支付收入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生态保护补偿转移性支出</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其他一般性转移支付收入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-259</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土地指标调剂转移性支出</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三、专项转移支付收入</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21,408</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其他转移性支出</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一般公共服务</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w:t>
            </w:r>
          </w:p>
        </w:tc>
        <w:tc>
          <w:tcPr>
            <w:tcW w:w="18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4"/>
                <w:szCs w:val="24"/>
                <w:u w:val="none"/>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spacing w:line="576" w:lineRule="exact"/>
        <w:rPr>
          <w:rFonts w:eastAsia="仿宋_GB2312"/>
          <w:sz w:val="32"/>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docGrid w:type="lines" w:linePitch="319" w:charSpace="0"/>
        </w:sectPr>
      </w:pPr>
    </w:p>
    <w:p>
      <w:pPr>
        <w:spacing w:line="600" w:lineRule="exact"/>
        <w:ind w:firstLine="883" w:firstLineChars="200"/>
        <w:jc w:val="center"/>
        <w:rPr>
          <w:rFonts w:hint="eastAsia" w:ascii="宋体" w:hAnsi="宋体" w:eastAsia="宋体" w:cs="宋体"/>
          <w:b/>
          <w:bCs/>
          <w:sz w:val="44"/>
          <w:szCs w:val="44"/>
          <w:lang w:eastAsia="en-US"/>
        </w:rPr>
      </w:pPr>
      <w:bookmarkStart w:id="61" w:name="_Toc14903"/>
      <w:bookmarkStart w:id="62" w:name="_Toc17870"/>
      <w:r>
        <w:rPr>
          <w:rFonts w:hint="eastAsia" w:ascii="宋体" w:hAnsi="宋体" w:eastAsia="宋体" w:cs="宋体"/>
          <w:b/>
          <w:bCs/>
          <w:sz w:val="44"/>
          <w:szCs w:val="44"/>
          <w:lang w:val="en-US" w:eastAsia="zh-CN"/>
        </w:rPr>
        <w:t>2023</w:t>
      </w:r>
      <w:r>
        <w:rPr>
          <w:rFonts w:hint="eastAsia" w:ascii="宋体" w:hAnsi="宋体" w:eastAsia="宋体" w:cs="宋体"/>
          <w:b/>
          <w:bCs/>
          <w:sz w:val="44"/>
          <w:szCs w:val="44"/>
          <w:lang w:eastAsia="en-US"/>
        </w:rPr>
        <w:t>年永吉县</w:t>
      </w:r>
      <w:r>
        <w:rPr>
          <w:rFonts w:hint="eastAsia" w:ascii="宋体" w:hAnsi="宋体" w:eastAsia="宋体" w:cs="宋体"/>
          <w:b/>
          <w:bCs/>
          <w:sz w:val="44"/>
          <w:szCs w:val="44"/>
          <w:lang w:eastAsia="zh-CN"/>
        </w:rPr>
        <w:t>一般公共预算</w:t>
      </w:r>
      <w:r>
        <w:rPr>
          <w:rFonts w:hint="eastAsia" w:ascii="宋体" w:hAnsi="宋体" w:eastAsia="宋体" w:cs="宋体"/>
          <w:b/>
          <w:bCs/>
          <w:sz w:val="44"/>
          <w:szCs w:val="44"/>
          <w:lang w:eastAsia="en-US"/>
        </w:rPr>
        <w:t>转移支付执行情况说明</w:t>
      </w:r>
      <w:bookmarkEnd w:id="61"/>
      <w:bookmarkEnd w:id="62"/>
    </w:p>
    <w:p>
      <w:pPr>
        <w:spacing w:line="576" w:lineRule="exact"/>
        <w:ind w:firstLine="883" w:firstLineChars="200"/>
        <w:rPr>
          <w:rFonts w:ascii="Times New Roman" w:hAnsi="Times New Roman" w:eastAsia="仿宋" w:cs="Times New Roman"/>
          <w:b/>
          <w:bCs/>
          <w:sz w:val="44"/>
          <w:szCs w:val="44"/>
          <w:lang w:eastAsia="en-US"/>
        </w:rPr>
      </w:pPr>
    </w:p>
    <w:p>
      <w:pPr>
        <w:spacing w:line="576" w:lineRule="exact"/>
        <w:ind w:firstLine="640" w:firstLineChars="200"/>
        <w:rPr>
          <w:rFonts w:eastAsia="仿宋_GB2312"/>
          <w:sz w:val="32"/>
        </w:rPr>
      </w:pPr>
      <w:r>
        <w:rPr>
          <w:rFonts w:eastAsia="仿宋_GB2312"/>
          <w:bCs/>
          <w:sz w:val="32"/>
          <w:szCs w:val="32"/>
        </w:rPr>
        <w:t>2023年，省财政下达我县各项补助收入252,243万元，其中：一是返还性收入5,532万元；二是一般性转移支付收入108,909万元（不含公共安全、教育、科学技术、文化旅游体育与传媒、社会保障和就业、医疗卫生、节能环保、农林水、交通运输、住房保障、灾害防治及应急管理等共同事权转移支付收入116,394万元）。其中：均衡性转移支付收入42,353万元，县级基本财力保障机制奖补资金收入24,497万元，结算补助收入5,048万元，产粮（油）大县奖励资金收入4,270万元，固定数额补助收入27,769万元，民族地区转移支付收入25万元，巩固脱贫攻成果衔接乡村振兴转移支付收入4,270万元，增值税留抵退税转移支付收入676万元，其他退税减税降费转移支付收入260万元，其他一般性转移支付收入-259万元；三是专项转移支付收入137,802万元（含公共安全、教育、文化旅游体育与传媒、社会保障和就业、医疗卫生、节能环保、农林水、交通运输、住房保障、灾害防治及应急管理等共同事权转移支付收入116,394万元）。</w:t>
      </w:r>
    </w:p>
    <w:p>
      <w:pPr>
        <w:spacing w:line="576" w:lineRule="exact"/>
        <w:ind w:firstLine="640" w:firstLineChars="200"/>
        <w:rPr>
          <w:rFonts w:eastAsia="仿宋_GB2312"/>
          <w:sz w:val="32"/>
        </w:rPr>
      </w:pPr>
    </w:p>
    <w:p>
      <w:pPr>
        <w:spacing w:line="576" w:lineRule="exact"/>
        <w:ind w:firstLine="640" w:firstLineChars="200"/>
        <w:rPr>
          <w:rFonts w:eastAsia="仿宋_GB2312"/>
          <w:sz w:val="32"/>
        </w:rPr>
      </w:pPr>
    </w:p>
    <w:p>
      <w:pPr>
        <w:spacing w:line="576" w:lineRule="exact"/>
        <w:ind w:firstLine="640" w:firstLineChars="200"/>
        <w:rPr>
          <w:rFonts w:eastAsia="仿宋_GB2312"/>
          <w:sz w:val="32"/>
        </w:rPr>
      </w:pPr>
    </w:p>
    <w:p>
      <w:pPr>
        <w:spacing w:line="576" w:lineRule="exact"/>
        <w:ind w:firstLine="640" w:firstLineChars="200"/>
        <w:rPr>
          <w:rFonts w:eastAsia="仿宋_GB2312"/>
          <w:sz w:val="32"/>
        </w:rPr>
      </w:pPr>
    </w:p>
    <w:p>
      <w:pPr>
        <w:spacing w:line="576" w:lineRule="exact"/>
        <w:ind w:firstLine="640" w:firstLineChars="200"/>
        <w:rPr>
          <w:rFonts w:eastAsia="仿宋_GB2312"/>
          <w:sz w:val="32"/>
        </w:rPr>
      </w:pPr>
    </w:p>
    <w:p>
      <w:pPr>
        <w:spacing w:line="576" w:lineRule="exact"/>
        <w:ind w:firstLine="640" w:firstLineChars="200"/>
        <w:rPr>
          <w:rFonts w:eastAsia="仿宋_GB2312"/>
          <w:sz w:val="32"/>
        </w:rPr>
      </w:pPr>
    </w:p>
    <w:p>
      <w:pPr>
        <w:pStyle w:val="2"/>
        <w:jc w:val="both"/>
        <w:rPr>
          <w:rFonts w:eastAsia="仿宋_GB2312"/>
          <w:sz w:val="32"/>
        </w:rPr>
      </w:pPr>
    </w:p>
    <w:p>
      <w:pPr>
        <w:rPr>
          <w:rFonts w:eastAsia="仿宋_GB2312"/>
          <w:sz w:val="32"/>
        </w:rPr>
      </w:pPr>
    </w:p>
    <w:p>
      <w:pPr>
        <w:pStyle w:val="2"/>
        <w:rPr>
          <w:rFonts w:eastAsia="仿宋_GB2312"/>
          <w:sz w:val="32"/>
        </w:rPr>
      </w:pPr>
    </w:p>
    <w:p/>
    <w:p>
      <w:pPr>
        <w:spacing w:line="600" w:lineRule="exact"/>
        <w:ind w:firstLine="883" w:firstLineChars="200"/>
        <w:jc w:val="both"/>
        <w:rPr>
          <w:rFonts w:hint="eastAsia" w:ascii="宋体" w:hAnsi="宋体" w:eastAsia="宋体" w:cs="宋体"/>
          <w:b/>
          <w:bCs/>
          <w:sz w:val="44"/>
          <w:szCs w:val="44"/>
          <w:lang w:eastAsia="en-US"/>
        </w:rPr>
      </w:pPr>
      <w:bookmarkStart w:id="63" w:name="_Toc3484"/>
      <w:bookmarkStart w:id="64" w:name="_Toc7025"/>
      <w:bookmarkStart w:id="65" w:name="_Toc29230"/>
      <w:r>
        <w:rPr>
          <w:rFonts w:hint="eastAsia" w:ascii="宋体" w:hAnsi="宋体" w:eastAsia="宋体" w:cs="宋体"/>
          <w:b/>
          <w:bCs/>
          <w:sz w:val="44"/>
          <w:szCs w:val="44"/>
          <w:lang w:val="en-US" w:eastAsia="zh-CN"/>
        </w:rPr>
        <w:t>2023</w:t>
      </w:r>
      <w:r>
        <w:rPr>
          <w:rFonts w:hint="eastAsia" w:ascii="宋体" w:hAnsi="宋体" w:eastAsia="宋体" w:cs="宋体"/>
          <w:b/>
          <w:bCs/>
          <w:sz w:val="44"/>
          <w:szCs w:val="44"/>
          <w:lang w:eastAsia="en-US"/>
        </w:rPr>
        <w:t>年永吉县政府性基金收支情况</w:t>
      </w:r>
      <w:bookmarkEnd w:id="63"/>
      <w:bookmarkEnd w:id="64"/>
      <w:bookmarkEnd w:id="65"/>
    </w:p>
    <w:p>
      <w:pPr>
        <w:pStyle w:val="2"/>
        <w:rPr>
          <w:rFonts w:hint="eastAsia" w:ascii="宋体" w:hAnsi="宋体" w:eastAsia="宋体" w:cs="宋体"/>
          <w:b/>
          <w:bCs/>
          <w:sz w:val="44"/>
          <w:szCs w:val="44"/>
          <w:lang w:eastAsia="en-US"/>
        </w:rPr>
      </w:pPr>
    </w:p>
    <w:p>
      <w:pPr>
        <w:rPr>
          <w:rFonts w:hint="eastAsia" w:ascii="宋体" w:hAnsi="宋体" w:eastAsia="宋体" w:cs="宋体"/>
          <w:b/>
          <w:bCs/>
          <w:sz w:val="44"/>
          <w:szCs w:val="44"/>
          <w:lang w:eastAsia="en-US"/>
        </w:rPr>
      </w:pPr>
    </w:p>
    <w:p>
      <w:pPr>
        <w:pStyle w:val="2"/>
        <w:rPr>
          <w:rFonts w:hint="eastAsia" w:ascii="宋体" w:hAnsi="宋体" w:eastAsia="宋体" w:cs="宋体"/>
          <w:b/>
          <w:bCs/>
          <w:sz w:val="44"/>
          <w:szCs w:val="44"/>
          <w:lang w:eastAsia="en-US"/>
        </w:rPr>
      </w:pPr>
    </w:p>
    <w:p>
      <w:pPr>
        <w:rPr>
          <w:rFonts w:hint="eastAsia" w:ascii="宋体" w:hAnsi="宋体" w:eastAsia="宋体" w:cs="宋体"/>
          <w:b/>
          <w:bCs/>
          <w:sz w:val="44"/>
          <w:szCs w:val="44"/>
          <w:lang w:eastAsia="en-US"/>
        </w:rPr>
      </w:pPr>
    </w:p>
    <w:p>
      <w:pPr>
        <w:pStyle w:val="2"/>
        <w:rPr>
          <w:rFonts w:hint="eastAsia" w:ascii="宋体" w:hAnsi="宋体" w:eastAsia="宋体" w:cs="宋体"/>
          <w:b/>
          <w:bCs/>
          <w:sz w:val="44"/>
          <w:szCs w:val="44"/>
          <w:lang w:eastAsia="en-US"/>
        </w:rPr>
      </w:pPr>
    </w:p>
    <w:p>
      <w:pPr>
        <w:rPr>
          <w:rFonts w:hint="eastAsia" w:ascii="宋体" w:hAnsi="宋体" w:eastAsia="宋体" w:cs="宋体"/>
          <w:b/>
          <w:bCs/>
          <w:sz w:val="44"/>
          <w:szCs w:val="44"/>
          <w:lang w:eastAsia="en-US"/>
        </w:rPr>
      </w:pPr>
    </w:p>
    <w:p>
      <w:pPr>
        <w:pStyle w:val="2"/>
        <w:rPr>
          <w:rFonts w:hint="eastAsia" w:ascii="宋体" w:hAnsi="宋体" w:eastAsia="宋体" w:cs="宋体"/>
          <w:b/>
          <w:bCs/>
          <w:sz w:val="44"/>
          <w:szCs w:val="44"/>
          <w:lang w:eastAsia="en-US"/>
        </w:rPr>
      </w:pPr>
    </w:p>
    <w:p>
      <w:pPr>
        <w:rPr>
          <w:rFonts w:hint="eastAsia" w:ascii="宋体" w:hAnsi="宋体" w:eastAsia="宋体" w:cs="宋体"/>
          <w:b/>
          <w:bCs/>
          <w:sz w:val="44"/>
          <w:szCs w:val="44"/>
          <w:lang w:eastAsia="en-US"/>
        </w:rPr>
      </w:pPr>
    </w:p>
    <w:p>
      <w:pPr>
        <w:pStyle w:val="2"/>
        <w:rPr>
          <w:rFonts w:hint="eastAsia" w:ascii="宋体" w:hAnsi="宋体" w:eastAsia="宋体" w:cs="宋体"/>
          <w:b/>
          <w:bCs/>
          <w:sz w:val="44"/>
          <w:szCs w:val="44"/>
          <w:lang w:eastAsia="en-US"/>
        </w:rPr>
      </w:pPr>
    </w:p>
    <w:p>
      <w:pPr>
        <w:rPr>
          <w:rFonts w:hint="eastAsia" w:ascii="宋体" w:hAnsi="宋体" w:eastAsia="宋体" w:cs="宋体"/>
          <w:b/>
          <w:bCs/>
          <w:sz w:val="44"/>
          <w:szCs w:val="44"/>
          <w:lang w:eastAsia="en-US"/>
        </w:rPr>
      </w:pPr>
    </w:p>
    <w:p>
      <w:pPr>
        <w:pStyle w:val="2"/>
        <w:rPr>
          <w:rFonts w:hint="eastAsia"/>
          <w:lang w:eastAsia="en-US"/>
        </w:rPr>
      </w:pP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27"/>
        <w:gridCol w:w="11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2023年永吉县政府性基金收入完成表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预算科目</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完成数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农网还贷资金收入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地方农网还贷资金收入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海南省高等级公路车辆通行附加费收入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旅游发展基金收入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国家电影事业发展专项资金收入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国有土地收益基金收入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农业土地开发资金收入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国有土地使用权出让收入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土地出让价款收入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补缴的土地价款</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划拨土地收入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缴纳新增建设用地土地有偿使用费</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其他土地出让收入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大中型水库库区基金收入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地方大中型水库库区基金收入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彩票公益金收入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福利彩票公益金收入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体育彩票公益金收入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城市基础设施配套费收入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小型水库移民扶助基金收入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国家重大水利工程建设基金收入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地方重大水利工程建设资金</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车辆通行费</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污水处理费收入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彩票发行机构和彩票销售机构的业务费用</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福利彩票销售机构的业务费用</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体育彩票销售机构的业务费用</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彩票兑奖周转金</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彩票发行销售风险基金</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彩票市场调控资金收入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其他政府性基金收入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专项债务对应项目专项收入</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海南省高等级公路车辆通行附加费专项债务对应项目专项收入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国家电影事业发展专项资金专项债务对应项目专项收入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国有土地使用权出让金专项债务对应项目专项收入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土地储备专项债券对应项目专项收入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棚户区改造专项债券对应项目专项收入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其他国有土地使用权出让金专项债务对应项目专项收入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农业土地开发资金专项债务对应项目专项收入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大中型水库库区基金专项债务对应项目专项收入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城市基础设施配套费专项债务对应项目专项收入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小型水库移民扶助基金专项债务对应项目专项收入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国家重大水利工程建设基金专项债务对应项目专项收入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车辆通行费专项债务对应项目专项收入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政府收费公路专项债券对应项目专项收入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其他车辆通行费专项债务对应项目专项收入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污水处理费专项债务对应项目专项收入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其他政府性基金专项债务对应项目专项收入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其他地方自行试点项目收益专项债券对应项目专项收入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其他政府性基金专项债务对应项目专项收入  </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本 年 收 入 合 计</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16,610</w:t>
            </w:r>
          </w:p>
        </w:tc>
      </w:tr>
    </w:tbl>
    <w:p>
      <w:pPr>
        <w:spacing w:line="576" w:lineRule="exact"/>
        <w:ind w:firstLine="640" w:firstLineChars="200"/>
        <w:rPr>
          <w:rFonts w:eastAsia="仿宋_GB2312"/>
          <w:sz w:val="32"/>
        </w:rPr>
      </w:pPr>
    </w:p>
    <w:p>
      <w:pPr>
        <w:pStyle w:val="2"/>
        <w:jc w:val="both"/>
      </w:pPr>
    </w:p>
    <w:p>
      <w:pPr>
        <w:spacing w:line="600" w:lineRule="exact"/>
        <w:jc w:val="both"/>
        <w:rPr>
          <w:rFonts w:hint="eastAsia" w:ascii="宋体" w:hAnsi="宋体" w:eastAsia="宋体" w:cs="宋体"/>
          <w:b/>
          <w:bCs/>
          <w:sz w:val="44"/>
          <w:szCs w:val="44"/>
          <w:lang w:val="en-US" w:eastAsia="zh-CN"/>
        </w:rPr>
      </w:pPr>
      <w:bookmarkStart w:id="66" w:name="_Toc28718"/>
      <w:bookmarkStart w:id="67" w:name="_Toc28772"/>
      <w:bookmarkStart w:id="68" w:name="_Toc6630"/>
      <w:r>
        <w:rPr>
          <w:rFonts w:hint="eastAsia" w:ascii="宋体" w:hAnsi="宋体" w:eastAsia="宋体" w:cs="宋体"/>
          <w:b/>
          <w:bCs/>
          <w:sz w:val="44"/>
          <w:szCs w:val="44"/>
          <w:lang w:val="en-US" w:eastAsia="zh-CN"/>
        </w:rPr>
        <w:t xml:space="preserve"> </w:t>
      </w: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434"/>
        <w:gridCol w:w="1049"/>
        <w:gridCol w:w="2979"/>
        <w:gridCol w:w="10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2023年永吉县政府性基金转移支付表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预算科目</w:t>
            </w:r>
          </w:p>
        </w:tc>
        <w:tc>
          <w:tcPr>
            <w:tcW w:w="616"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决算数</w:t>
            </w:r>
          </w:p>
        </w:tc>
        <w:tc>
          <w:tcPr>
            <w:tcW w:w="1749"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预算科目</w:t>
            </w:r>
          </w:p>
        </w:tc>
        <w:tc>
          <w:tcPr>
            <w:tcW w:w="617"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政府性基金收入</w:t>
            </w:r>
          </w:p>
        </w:tc>
        <w:tc>
          <w:tcPr>
            <w:tcW w:w="616"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13,603</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科学技术支出</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专项债务对应项目专项收入</w:t>
            </w:r>
          </w:p>
        </w:tc>
        <w:tc>
          <w:tcPr>
            <w:tcW w:w="616"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3,007</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文化旅游体育与传媒支出</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 年 收 入 合 计</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16,610</w:t>
            </w:r>
          </w:p>
        </w:tc>
        <w:tc>
          <w:tcPr>
            <w:tcW w:w="174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61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上级补助收入</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2,395</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节能环保支出</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政府性基金转移支付收入</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2,395</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城乡社区支出</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科学技术</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农林水支出</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文化旅游体育与传媒</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交通运输支出</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社会保障和就业</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784</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资源勘探工业信息等支出</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节能环保</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76,760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城乡社区</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683</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债务付息支出</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农林水</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债务发行费用支出</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交通运输</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抗疫特别国债安排的支出</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资源勘探工业信息等</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 年 支 出 合 计</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96,118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其他收入</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823</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上解上级支出</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待偿债再融资专项债券上年结余</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调出资金</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上年结余收入</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18,308</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债务还本支出</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调入资金</w:t>
            </w:r>
          </w:p>
        </w:tc>
        <w:tc>
          <w:tcPr>
            <w:tcW w:w="616"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3,072</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计划单列市上解省支出</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债务(转贷)收入</w:t>
            </w:r>
          </w:p>
        </w:tc>
        <w:tc>
          <w:tcPr>
            <w:tcW w:w="616"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62,400</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待偿债再融资专项债券结余</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省补助计划单列市收入</w:t>
            </w:r>
          </w:p>
        </w:tc>
        <w:tc>
          <w:tcPr>
            <w:tcW w:w="616"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49"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年终结余</w:t>
            </w:r>
          </w:p>
        </w:tc>
        <w:tc>
          <w:tcPr>
            <w:tcW w:w="617"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 入 总 计</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102,785</w:t>
            </w:r>
          </w:p>
        </w:tc>
        <w:tc>
          <w:tcPr>
            <w:tcW w:w="1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 出 总 计</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102,785</w:t>
            </w:r>
          </w:p>
        </w:tc>
      </w:tr>
    </w:tbl>
    <w:p>
      <w:pPr>
        <w:spacing w:line="600" w:lineRule="exact"/>
        <w:jc w:val="both"/>
        <w:rPr>
          <w:rFonts w:hint="default"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ascii="Times New Roman" w:hAnsi="Times New Roman" w:eastAsia="仿宋" w:cs="Times New Roman"/>
          <w:b/>
          <w:bCs/>
          <w:sz w:val="44"/>
          <w:szCs w:val="44"/>
        </w:rPr>
      </w:pPr>
      <w:r>
        <w:rPr>
          <w:rFonts w:hint="eastAsia" w:ascii="宋体" w:hAnsi="宋体" w:eastAsia="宋体" w:cs="宋体"/>
          <w:b/>
          <w:bCs/>
          <w:sz w:val="44"/>
          <w:szCs w:val="44"/>
          <w:lang w:val="en-US" w:eastAsia="zh-CN"/>
        </w:rPr>
        <w:t>2023</w:t>
      </w:r>
      <w:r>
        <w:rPr>
          <w:rFonts w:hint="eastAsia" w:ascii="宋体" w:hAnsi="宋体" w:eastAsia="宋体" w:cs="宋体"/>
          <w:b/>
          <w:bCs/>
          <w:sz w:val="44"/>
          <w:szCs w:val="44"/>
          <w:lang w:eastAsia="en-US"/>
        </w:rPr>
        <w:t>年永吉县政府性基金</w:t>
      </w:r>
      <w:bookmarkEnd w:id="66"/>
      <w:bookmarkEnd w:id="67"/>
      <w:bookmarkEnd w:id="68"/>
      <w:bookmarkStart w:id="69" w:name="_Toc12576"/>
      <w:bookmarkStart w:id="70" w:name="_Toc15608"/>
      <w:bookmarkStart w:id="71" w:name="_Toc24930"/>
      <w:r>
        <w:rPr>
          <w:rFonts w:hint="eastAsia" w:ascii="宋体" w:hAnsi="宋体" w:eastAsia="宋体" w:cs="宋体"/>
          <w:b/>
          <w:bCs/>
          <w:sz w:val="44"/>
          <w:szCs w:val="44"/>
          <w:lang w:eastAsia="en-US"/>
        </w:rPr>
        <w:t>收入完成情况</w:t>
      </w:r>
      <w:bookmarkEnd w:id="69"/>
      <w:bookmarkEnd w:id="70"/>
      <w:bookmarkEnd w:id="71"/>
    </w:p>
    <w:p>
      <w:pPr>
        <w:adjustRightInd w:val="0"/>
        <w:snapToGrid w:val="0"/>
        <w:spacing w:line="576" w:lineRule="exact"/>
        <w:ind w:firstLine="640" w:firstLineChars="200"/>
        <w:rPr>
          <w:rFonts w:eastAsia="仿宋_GB2312"/>
          <w:bCs/>
          <w:sz w:val="32"/>
          <w:szCs w:val="32"/>
        </w:rPr>
      </w:pPr>
      <w:r>
        <w:rPr>
          <w:rFonts w:eastAsia="仿宋_GB2312"/>
          <w:bCs/>
          <w:sz w:val="32"/>
          <w:szCs w:val="32"/>
        </w:rPr>
        <w:t>2023年，我县政府性基金收入合计为102,785万元，为预算的96.2%，其中：上年结余18,308万元，本级收入16,610万元，省专项收入2,395万元，债务转贷收入62,400万元，调入资金3,072万元。政府性基金支出96,118万元，一是文化旅游体育与传媒支出1万元，主要是国家电影事业专项发展基金；二是社会保障和就业支出624万元，主要是大中型水库移民后期扶持基金支出；三是城乡社区支出11,213万元，其中：国有土地使用权出让收入安排的支出10,798万元，城市基础设施配套费安排的支出139万元，污水处理费安排的支出276万元；四是农林水支出45万元，主要是大中型水库库区基金安排支出；五是其他支出76,760万元，主要为其他政府性基金及对应专项债务收入安排的支出75,814万元；彩票公益金安排的支出929万元；彩票发行销售机构业务费安排的支出17万元；六是债务付息支出7,422万元，主要是地方政府专项债务付息支出；七是债务发行费支出53万元，主要是地方政府专项债务发行费用支出。</w:t>
      </w:r>
    </w:p>
    <w:p>
      <w:pPr>
        <w:adjustRightInd w:val="0"/>
        <w:snapToGrid w:val="0"/>
        <w:spacing w:line="576" w:lineRule="exact"/>
        <w:ind w:firstLine="640" w:firstLineChars="200"/>
        <w:rPr>
          <w:rFonts w:eastAsia="仿宋_GB2312"/>
          <w:bCs/>
          <w:sz w:val="32"/>
          <w:szCs w:val="32"/>
        </w:rPr>
      </w:pPr>
      <w:r>
        <w:rPr>
          <w:rFonts w:eastAsia="仿宋_GB2312"/>
          <w:bCs/>
          <w:sz w:val="32"/>
          <w:szCs w:val="32"/>
        </w:rPr>
        <w:t>政府性基金预算收入合计为102,785万元。政府性基金预算支出96,118万元，加上调出资金2,744万元、年终结转3,923万元，支出合计为102,785万元，收支总量相抵，实现收支平衡。</w:t>
      </w:r>
    </w:p>
    <w:p>
      <w:pPr>
        <w:pStyle w:val="2"/>
        <w:jc w:val="both"/>
        <w:rPr>
          <w:rFonts w:hint="eastAsia" w:eastAsia="仿宋_GB2312"/>
          <w:color w:val="auto"/>
          <w:sz w:val="32"/>
          <w:szCs w:val="32"/>
          <w:lang w:val="en-US" w:eastAsia="zh-CN"/>
        </w:rPr>
      </w:pPr>
    </w:p>
    <w:tbl>
      <w:tblPr>
        <w:tblStyle w:val="6"/>
        <w:tblW w:w="93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26"/>
        <w:gridCol w:w="18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300"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2023年度永吉县政府性基金预算支出完成表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预算科目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文化旅游体育与传媒支出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国家电影事业发展专项资金安排的支出</w:t>
            </w: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资助国产影片放映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大中型水库移民后期扶持基金支出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移民补助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基础设施建设和经济发展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城乡社区支出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国有土地使用权出让收入安排的支出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征地和拆迁补偿支出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土地开发支出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城市建设支出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农村基础设施建设支出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土地出让业务支出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农业农村生态环境支出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城市基础设施配套费安排的支出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城市公共设施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城市环境卫生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污水处理费安排的支出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污水处理设施建设和运营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农林水支出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大中型水库库区基金安排的支出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其他大中型水库库区基金支出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76,760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其他政府性基金及对应专项债务收入安排的支出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75,814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其他地方自行试点项目收益专项债券收入安排的支出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75,814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彩票发行销售机构业务费安排的支出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福利彩票销售机构的业务费支出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彩票市场调控资金支出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彩票公益金安排的支出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用于社会福利的彩票公益金支出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用于体育事业的彩票公益金支出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用于教育事业的彩票公益金支出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用于残疾人事业的彩票公益金支出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用于其他社会公益事业的彩票公益金支出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地方政府专项债务付息支出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国有土地使用权出让金债务付息支出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其他地方自行试点项目收益专项债券付息支出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债务发行费用支出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地方政府专项债务发行费用支出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其他地方自行试点项目收益专项债券发行费用支出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本 年 支 出 合 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96,118</w:t>
            </w:r>
          </w:p>
        </w:tc>
      </w:tr>
    </w:tbl>
    <w:p>
      <w:pPr>
        <w:pStyle w:val="2"/>
        <w:jc w:val="both"/>
        <w:rPr>
          <w:rFonts w:hint="eastAsia"/>
          <w:lang w:val="en-US" w:eastAsia="zh-CN"/>
        </w:rPr>
      </w:pPr>
    </w:p>
    <w:p>
      <w:pPr>
        <w:rPr>
          <w:rFonts w:hint="eastAsia"/>
          <w:lang w:val="en-US" w:eastAsia="zh-CN"/>
        </w:rPr>
      </w:pPr>
    </w:p>
    <w:p>
      <w:pPr>
        <w:pStyle w:val="4"/>
        <w:rPr>
          <w:rFonts w:hint="eastAsia"/>
          <w:lang w:val="en-US" w:eastAsia="zh-CN"/>
        </w:rPr>
      </w:pPr>
    </w:p>
    <w:p>
      <w:pPr>
        <w:rPr>
          <w:rFonts w:hint="eastAsia"/>
          <w:lang w:val="en-US" w:eastAsia="zh-CN"/>
        </w:rPr>
      </w:pPr>
    </w:p>
    <w:p>
      <w:pPr>
        <w:pStyle w:val="2"/>
        <w:jc w:val="both"/>
      </w:pPr>
    </w:p>
    <w:p/>
    <w:p>
      <w:pPr>
        <w:pStyle w:val="4"/>
      </w:pPr>
    </w:p>
    <w:p/>
    <w:p>
      <w:pPr>
        <w:pStyle w:val="4"/>
      </w:pPr>
    </w:p>
    <w:p/>
    <w:p>
      <w:pPr>
        <w:pStyle w:val="4"/>
      </w:pPr>
    </w:p>
    <w:p/>
    <w:p>
      <w:pPr>
        <w:spacing w:line="600" w:lineRule="exact"/>
        <w:jc w:val="center"/>
        <w:rPr>
          <w:rFonts w:hint="eastAsia" w:ascii="宋体" w:hAnsi="宋体" w:eastAsia="宋体" w:cs="宋体"/>
          <w:b/>
          <w:bCs/>
          <w:sz w:val="44"/>
          <w:szCs w:val="44"/>
          <w:lang w:eastAsia="en-US"/>
        </w:rPr>
      </w:pPr>
      <w:bookmarkStart w:id="72" w:name="_Toc1074"/>
      <w:bookmarkStart w:id="73" w:name="_Toc771"/>
      <w:bookmarkStart w:id="74" w:name="_Toc8557"/>
      <w:r>
        <w:rPr>
          <w:rFonts w:hint="eastAsia" w:ascii="宋体" w:hAnsi="宋体" w:eastAsia="宋体" w:cs="宋体"/>
          <w:b/>
          <w:bCs/>
          <w:sz w:val="44"/>
          <w:szCs w:val="44"/>
          <w:lang w:val="en-US" w:eastAsia="zh-CN"/>
        </w:rPr>
        <w:t>2023</w:t>
      </w:r>
      <w:r>
        <w:rPr>
          <w:rFonts w:hint="eastAsia" w:ascii="宋体" w:hAnsi="宋体" w:eastAsia="宋体" w:cs="宋体"/>
          <w:b/>
          <w:bCs/>
          <w:sz w:val="44"/>
          <w:szCs w:val="44"/>
          <w:lang w:eastAsia="en-US"/>
        </w:rPr>
        <w:t>年永吉县政府性基金</w:t>
      </w:r>
      <w:bookmarkEnd w:id="72"/>
      <w:bookmarkEnd w:id="73"/>
      <w:bookmarkEnd w:id="74"/>
    </w:p>
    <w:p>
      <w:pPr>
        <w:spacing w:line="600" w:lineRule="exact"/>
        <w:ind w:firstLine="2650" w:firstLineChars="600"/>
        <w:jc w:val="both"/>
        <w:rPr>
          <w:rFonts w:hint="eastAsia" w:ascii="宋体" w:hAnsi="宋体" w:eastAsia="宋体" w:cs="宋体"/>
          <w:b/>
          <w:bCs/>
          <w:sz w:val="44"/>
          <w:szCs w:val="44"/>
          <w:lang w:eastAsia="en-US"/>
        </w:rPr>
      </w:pPr>
      <w:bookmarkStart w:id="75" w:name="_Toc24332"/>
      <w:bookmarkStart w:id="76" w:name="_Toc16363"/>
      <w:bookmarkStart w:id="77" w:name="_Toc653"/>
      <w:r>
        <w:rPr>
          <w:rFonts w:hint="eastAsia" w:ascii="宋体" w:hAnsi="宋体" w:eastAsia="宋体" w:cs="宋体"/>
          <w:b/>
          <w:bCs/>
          <w:sz w:val="44"/>
          <w:szCs w:val="44"/>
          <w:lang w:eastAsia="en-US"/>
        </w:rPr>
        <w:t>支出完成情况</w:t>
      </w:r>
      <w:bookmarkEnd w:id="75"/>
      <w:bookmarkEnd w:id="76"/>
      <w:bookmarkEnd w:id="77"/>
    </w:p>
    <w:p>
      <w:pPr>
        <w:pStyle w:val="4"/>
      </w:pPr>
    </w:p>
    <w:p>
      <w:pPr>
        <w:keepNext w:val="0"/>
        <w:keepLines w:val="0"/>
        <w:pageBreakBefore w:val="0"/>
        <w:widowControl w:val="0"/>
        <w:kinsoku/>
        <w:wordWrap/>
        <w:overflowPunct/>
        <w:topLinePunct w:val="0"/>
        <w:autoSpaceDE/>
        <w:autoSpaceDN/>
        <w:bidi w:val="0"/>
        <w:adjustRightInd/>
        <w:snapToGrid/>
        <w:spacing w:line="576" w:lineRule="exact"/>
        <w:ind w:firstLine="63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w:t>
      </w:r>
      <w:r>
        <w:rPr>
          <w:rFonts w:hint="default"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年政府性基金支出</w:t>
      </w:r>
      <w:r>
        <w:rPr>
          <w:rFonts w:hint="eastAsia" w:ascii="Times New Roman" w:hAnsi="Times New Roman" w:eastAsia="仿宋_GB2312" w:cs="Times New Roman"/>
          <w:color w:val="auto"/>
          <w:sz w:val="32"/>
          <w:szCs w:val="32"/>
          <w:lang w:val="en-US" w:eastAsia="zh-CN"/>
        </w:rPr>
        <w:t>96118</w:t>
      </w:r>
      <w:r>
        <w:rPr>
          <w:rFonts w:hint="default" w:ascii="Times New Roman" w:hAnsi="Times New Roman" w:eastAsia="仿宋_GB2312" w:cs="Times New Roman"/>
          <w:color w:val="auto"/>
          <w:sz w:val="32"/>
          <w:szCs w:val="32"/>
        </w:rPr>
        <w:t>万元，具体情况如下：</w:t>
      </w:r>
    </w:p>
    <w:p>
      <w:pPr>
        <w:adjustRightInd w:val="0"/>
        <w:snapToGrid w:val="0"/>
        <w:spacing w:line="576" w:lineRule="exact"/>
        <w:ind w:firstLine="640" w:firstLineChars="200"/>
        <w:rPr>
          <w:rFonts w:eastAsia="仿宋_GB2312"/>
          <w:bCs/>
          <w:sz w:val="32"/>
          <w:szCs w:val="32"/>
        </w:rPr>
      </w:pPr>
      <w:r>
        <w:rPr>
          <w:rFonts w:eastAsia="仿宋_GB2312"/>
          <w:bCs/>
          <w:sz w:val="32"/>
          <w:szCs w:val="32"/>
        </w:rPr>
        <w:t>一是文化旅游体育与传媒支出1万元，主要是国家电影事业专项发展基金；二是社会保障和就业支出624万元，主要是大中型水库移民后期扶持基金支出；三是城乡社区支出11,213万元，其中：国有土地使用权出让收入安排的支出10,798万元，城市基础设施配套费安排的支出139万元，污水处理费安排的支出276万元；四是农林水支出45万元，主要是大中型水库库区基金安排支出；五是其他支出76,760万元，主要为其他政府性基金及对应专项债务收入安排的支出75,814万元；彩票公益金安排的支出929万元；彩票发行销售机构业务费安排的支出17万元；六是债务付息支出7,422万元，主要是地方政府专项债务付息支出；七是债务发行费支出53万元，主要是地方政府专项债务发行费用支出。</w:t>
      </w:r>
    </w:p>
    <w:p>
      <w:pPr>
        <w:pStyle w:val="2"/>
        <w:rPr>
          <w:rFonts w:hint="default" w:ascii="Times New Roman" w:hAnsi="Times New Roman" w:eastAsia="仿宋_GB2312" w:cs="Times New Roman"/>
          <w:color w:val="auto"/>
          <w:sz w:val="32"/>
          <w:szCs w:val="32"/>
          <w:lang w:val="en-US" w:eastAsia="zh-CN"/>
        </w:rPr>
      </w:pPr>
    </w:p>
    <w:p>
      <w:pPr>
        <w:rPr>
          <w:rFonts w:hint="default" w:ascii="Times New Roman" w:hAnsi="Times New Roman" w:eastAsia="仿宋_GB2312" w:cs="Times New Roman"/>
          <w:color w:val="auto"/>
          <w:sz w:val="32"/>
          <w:szCs w:val="32"/>
          <w:lang w:val="en-US" w:eastAsia="zh-CN"/>
        </w:rPr>
      </w:pPr>
    </w:p>
    <w:p>
      <w:pPr>
        <w:pStyle w:val="2"/>
        <w:rPr>
          <w:rFonts w:hint="default" w:ascii="Times New Roman" w:hAnsi="Times New Roman" w:eastAsia="仿宋_GB2312" w:cs="Times New Roman"/>
          <w:color w:val="auto"/>
          <w:sz w:val="32"/>
          <w:szCs w:val="32"/>
          <w:lang w:val="en-US" w:eastAsia="zh-CN"/>
        </w:rPr>
      </w:pPr>
    </w:p>
    <w:p>
      <w:pPr>
        <w:rPr>
          <w:rFonts w:hint="default" w:ascii="Times New Roman" w:hAnsi="Times New Roman" w:eastAsia="仿宋_GB2312" w:cs="Times New Roman"/>
          <w:color w:val="auto"/>
          <w:sz w:val="32"/>
          <w:szCs w:val="32"/>
          <w:lang w:val="en-US" w:eastAsia="zh-CN"/>
        </w:rPr>
      </w:pPr>
    </w:p>
    <w:p>
      <w:pPr>
        <w:pStyle w:val="2"/>
        <w:rPr>
          <w:rFonts w:hint="default"/>
          <w:lang w:val="en-US" w:eastAsia="zh-CN"/>
        </w:rPr>
      </w:pPr>
    </w:p>
    <w:p>
      <w:pPr>
        <w:rPr>
          <w:rFonts w:hint="default"/>
          <w:lang w:val="en-US" w:eastAsia="zh-CN"/>
        </w:rPr>
      </w:pP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78"/>
        <w:gridCol w:w="17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2023年度永吉县本级政府性基金预算支出决算功能分类明细表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07" w:type="pct"/>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预算科目</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文化旅游体育与传媒支出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国家电影事业发展专项资金安排的支出</w:t>
            </w:r>
          </w:p>
        </w:tc>
        <w:tc>
          <w:tcPr>
            <w:tcW w:w="100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资助国产影片放映</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大中型水库移民后期扶持基金支出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移民补助</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基础设施建设和经济发展</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城乡社区支出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国有土地使用权出让收入安排的支出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征地和拆迁补偿支出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土地开发支出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城市建设支出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农村基础设施建设支出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土地出让业务支出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农业农村生态环境支出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城市基础设施配套费安排的支出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城市公共设施</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城市环境卫生</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污水处理费安排的支出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污水处理设施建设和运营</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农林水支出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大中型水库库区基金安排的支出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其他大中型水库库区基金支出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76,760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其他政府性基金及对应专项债务收入安排的支出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75,814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其他地方自行试点项目收益专项债券收入安排的支出  </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75,814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彩票发行销售机构业务费安排的支出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福利彩票销售机构的业务费支出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彩票市场调控资金支出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彩票公益金安排的支出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用于社会福利的彩票公益金支出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用于体育事业的彩票公益金支出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用于教育事业的彩票公益金支出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用于残疾人事业的彩票公益金支出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用于其他社会公益事业的彩票公益金支出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债务付息支出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地方政府专项债务付息支出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国有土地使用权出让金债务付息支出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其他地方自行试点项目收益专项债券付息支出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债务发行费用支出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地方政府专项债务发行费用支出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其他地方自行试点项目收益专项债券发行费用支出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本 年 支 出 合 计</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96,118</w:t>
            </w:r>
          </w:p>
        </w:tc>
      </w:tr>
    </w:tbl>
    <w:p>
      <w:pPr>
        <w:spacing w:line="600" w:lineRule="exact"/>
      </w:pPr>
    </w:p>
    <w:p/>
    <w:p/>
    <w:p/>
    <w:p/>
    <w:p/>
    <w:p/>
    <w:p/>
    <w:p/>
    <w:p/>
    <w:p/>
    <w:p/>
    <w:p/>
    <w:p/>
    <w:p>
      <w:pPr>
        <w:pStyle w:val="4"/>
      </w:pPr>
    </w:p>
    <w:p/>
    <w:p>
      <w:pPr>
        <w:pStyle w:val="4"/>
      </w:pPr>
    </w:p>
    <w:p/>
    <w:p>
      <w:pPr>
        <w:pStyle w:val="4"/>
      </w:pPr>
    </w:p>
    <w:p/>
    <w:p>
      <w:pPr>
        <w:pStyle w:val="4"/>
      </w:pPr>
    </w:p>
    <w:p/>
    <w:p>
      <w:pPr>
        <w:pStyle w:val="4"/>
      </w:pPr>
    </w:p>
    <w:p/>
    <w:p>
      <w:pPr>
        <w:pStyle w:val="4"/>
      </w:pPr>
    </w:p>
    <w:p/>
    <w:p>
      <w:pPr>
        <w:tabs>
          <w:tab w:val="left" w:pos="521"/>
        </w:tabs>
        <w:jc w:val="center"/>
        <w:rPr>
          <w:rFonts w:hint="eastAsia" w:ascii="宋体" w:hAnsi="宋体" w:eastAsia="宋体" w:cs="宋体"/>
          <w:b/>
          <w:bCs/>
          <w:sz w:val="44"/>
          <w:szCs w:val="44"/>
          <w:lang w:eastAsia="en-US"/>
        </w:rPr>
        <w:sectPr>
          <w:pgSz w:w="11906" w:h="16838"/>
          <w:pgMar w:top="1440" w:right="1803" w:bottom="1440" w:left="1803" w:header="851" w:footer="992" w:gutter="0"/>
          <w:pgBorders>
            <w:top w:val="none" w:sz="0" w:space="0"/>
            <w:left w:val="none" w:sz="0" w:space="0"/>
            <w:bottom w:val="none" w:sz="0" w:space="0"/>
            <w:right w:val="none" w:sz="0" w:space="0"/>
          </w:pgBorders>
          <w:pgNumType w:fmt="numberInDash"/>
          <w:cols w:space="0" w:num="1"/>
          <w:docGrid w:type="lines" w:linePitch="319" w:charSpace="0"/>
        </w:sectPr>
      </w:pPr>
      <w:bookmarkStart w:id="78" w:name="_Toc8047"/>
      <w:bookmarkStart w:id="79" w:name="_Toc14168"/>
      <w:r>
        <w:rPr>
          <w:rFonts w:hint="eastAsia" w:ascii="宋体" w:hAnsi="宋体" w:eastAsia="宋体" w:cs="宋体"/>
          <w:b/>
          <w:bCs/>
          <w:sz w:val="44"/>
          <w:szCs w:val="44"/>
          <w:lang w:val="en-US" w:eastAsia="zh-CN"/>
        </w:rPr>
        <w:t>2023</w:t>
      </w:r>
      <w:r>
        <w:rPr>
          <w:rFonts w:hint="eastAsia" w:ascii="宋体" w:hAnsi="宋体" w:eastAsia="宋体" w:cs="宋体"/>
          <w:b/>
          <w:bCs/>
          <w:sz w:val="44"/>
          <w:szCs w:val="44"/>
          <w:lang w:eastAsia="en-US"/>
        </w:rPr>
        <w:t>年永吉县国有资本经营收支情况</w:t>
      </w:r>
      <w:bookmarkEnd w:id="78"/>
      <w:bookmarkEnd w:id="79"/>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74"/>
        <w:gridCol w:w="1494"/>
        <w:gridCol w:w="5865"/>
        <w:gridCol w:w="20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2023年度永吉县国有资本经营预算收支情况表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nil"/>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527" w:type="pct"/>
            <w:tcBorders>
              <w:top w:val="nil"/>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069" w:type="pct"/>
            <w:tcBorders>
              <w:top w:val="nil"/>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718" w:type="pct"/>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预算科目</w:t>
            </w:r>
          </w:p>
        </w:tc>
        <w:tc>
          <w:tcPr>
            <w:tcW w:w="5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决算数</w:t>
            </w:r>
          </w:p>
        </w:tc>
        <w:tc>
          <w:tcPr>
            <w:tcW w:w="206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预算科目</w:t>
            </w:r>
          </w:p>
        </w:tc>
        <w:tc>
          <w:tcPr>
            <w:tcW w:w="71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利润收入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解决历史遗留问题及改革成本支出</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股利、股息收入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国有企业资本金注入</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产权转让收入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国有企业政策性补贴</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清算收入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其他国有资本经营预算支出</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其他国有资本经营预算收入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 年 收 入 合 计</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 年 支 出 合 计</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上级补助收入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上解上级支出</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上年结余收入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省补助计划单列市收入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计划单列市上解省支出</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调出资金</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年终结余</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  入  总  计</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  出  总  计</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r>
    </w:tbl>
    <w:p>
      <w:pPr>
        <w:shd w:val="clear" w:color="auto" w:fill="000000"/>
        <w:spacing w:line="600" w:lineRule="exact"/>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docGrid w:type="lines" w:linePitch="319" w:charSpace="0"/>
        </w:sectPr>
      </w:pP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74"/>
        <w:gridCol w:w="1494"/>
        <w:gridCol w:w="5865"/>
        <w:gridCol w:w="20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2023年度永吉县本级国有资本经营预算收支明细表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nil"/>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527" w:type="pct"/>
            <w:tcBorders>
              <w:top w:val="nil"/>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069" w:type="pct"/>
            <w:tcBorders>
              <w:top w:val="nil"/>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718" w:type="pct"/>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预算科目</w:t>
            </w:r>
          </w:p>
        </w:tc>
        <w:tc>
          <w:tcPr>
            <w:tcW w:w="5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决算数</w:t>
            </w:r>
          </w:p>
        </w:tc>
        <w:tc>
          <w:tcPr>
            <w:tcW w:w="206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预算科目</w:t>
            </w:r>
          </w:p>
        </w:tc>
        <w:tc>
          <w:tcPr>
            <w:tcW w:w="71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利润收入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解决历史遗留问题及改革成本支出</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股利、股息收入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国有企业资本金注入</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产权转让收入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国有企业政策性补贴</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清算收入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其他国有资本经营预算支出</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其他国有资本经营预算收入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 年 收 入 合 计</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 年 支 出 合 计</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上级补助收入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上解上级支出</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上年结余收入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省补助计划单列市收入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计划单列市上解省支出</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调出资金</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年终结余</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  入  总  计</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  出  总  计</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r>
    </w:tbl>
    <w:p>
      <w:pPr>
        <w:spacing w:line="600" w:lineRule="exact"/>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docGrid w:type="lines" w:linePitch="319" w:charSpace="0"/>
        </w:sectPr>
      </w:pPr>
    </w:p>
    <w:p>
      <w:pPr>
        <w:pStyle w:val="4"/>
      </w:pPr>
    </w:p>
    <w:p/>
    <w:p/>
    <w:p/>
    <w:p/>
    <w:p>
      <w:pPr>
        <w:spacing w:line="600" w:lineRule="exact"/>
        <w:jc w:val="both"/>
      </w:pPr>
    </w:p>
    <w:p>
      <w:pPr>
        <w:spacing w:line="600" w:lineRule="exact"/>
        <w:ind w:firstLine="440" w:firstLineChars="200"/>
        <w:jc w:val="center"/>
      </w:pPr>
    </w:p>
    <w:p>
      <w:pPr>
        <w:spacing w:line="600" w:lineRule="exact"/>
        <w:ind w:firstLine="440" w:firstLineChars="200"/>
        <w:jc w:val="center"/>
      </w:pPr>
    </w:p>
    <w:p>
      <w:pPr>
        <w:spacing w:line="600" w:lineRule="exact"/>
        <w:jc w:val="center"/>
        <w:rPr>
          <w:rFonts w:hint="eastAsia" w:ascii="宋体" w:hAnsi="宋体" w:eastAsia="宋体" w:cs="宋体"/>
          <w:b/>
          <w:bCs/>
          <w:sz w:val="44"/>
          <w:szCs w:val="44"/>
          <w:lang w:val="en-US" w:eastAsia="zh-CN"/>
        </w:rPr>
      </w:pPr>
      <w:bookmarkStart w:id="80" w:name="_Toc9492"/>
      <w:bookmarkStart w:id="81" w:name="_Toc5095"/>
      <w:bookmarkStart w:id="82" w:name="_Toc6271"/>
    </w:p>
    <w:p>
      <w:pPr>
        <w:spacing w:line="600" w:lineRule="exact"/>
        <w:jc w:val="center"/>
        <w:rPr>
          <w:rFonts w:hint="eastAsia" w:ascii="宋体" w:hAnsi="宋体" w:eastAsia="宋体" w:cs="宋体"/>
          <w:b/>
          <w:bCs/>
          <w:sz w:val="44"/>
          <w:szCs w:val="44"/>
          <w:lang w:eastAsia="en-US"/>
        </w:rPr>
      </w:pPr>
      <w:r>
        <w:rPr>
          <w:rFonts w:hint="eastAsia" w:ascii="宋体" w:hAnsi="宋体" w:eastAsia="宋体" w:cs="宋体"/>
          <w:b/>
          <w:bCs/>
          <w:sz w:val="44"/>
          <w:szCs w:val="44"/>
          <w:lang w:val="en-US" w:eastAsia="zh-CN"/>
        </w:rPr>
        <w:t>2023</w:t>
      </w:r>
      <w:r>
        <w:rPr>
          <w:rFonts w:hint="eastAsia" w:ascii="宋体" w:hAnsi="宋体" w:eastAsia="宋体" w:cs="宋体"/>
          <w:b/>
          <w:bCs/>
          <w:sz w:val="44"/>
          <w:szCs w:val="44"/>
          <w:lang w:eastAsia="en-US"/>
        </w:rPr>
        <w:t>年永吉县社会保险基金收支情况</w:t>
      </w:r>
      <w:bookmarkEnd w:id="80"/>
      <w:bookmarkEnd w:id="81"/>
      <w:bookmarkEnd w:id="82"/>
    </w:p>
    <w:p>
      <w:pPr>
        <w:spacing w:line="600" w:lineRule="exact"/>
        <w:ind w:firstLine="883" w:firstLineChars="200"/>
        <w:jc w:val="center"/>
        <w:rPr>
          <w:rFonts w:hint="eastAsia" w:ascii="宋体" w:hAnsi="宋体" w:eastAsia="宋体" w:cs="宋体"/>
          <w:b/>
          <w:bCs/>
          <w:sz w:val="44"/>
          <w:szCs w:val="44"/>
          <w:lang w:eastAsia="en-US"/>
        </w:rPr>
        <w:sectPr>
          <w:pgSz w:w="11906" w:h="16838"/>
          <w:pgMar w:top="1440" w:right="1803" w:bottom="1440" w:left="1803" w:header="851" w:footer="992" w:gutter="0"/>
          <w:pgBorders>
            <w:top w:val="none" w:sz="0" w:space="0"/>
            <w:left w:val="none" w:sz="0" w:space="0"/>
            <w:bottom w:val="none" w:sz="0" w:space="0"/>
            <w:right w:val="none" w:sz="0" w:space="0"/>
          </w:pgBorders>
          <w:pgNumType w:fmt="numberInDash"/>
          <w:cols w:space="0" w:num="1"/>
          <w:docGrid w:type="lines" w:linePitch="319" w:charSpace="0"/>
        </w:sectPr>
      </w:pP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580"/>
        <w:gridCol w:w="1378"/>
        <w:gridCol w:w="1233"/>
        <w:gridCol w:w="1449"/>
        <w:gridCol w:w="1449"/>
        <w:gridCol w:w="1304"/>
        <w:gridCol w:w="1304"/>
        <w:gridCol w:w="1233"/>
        <w:gridCol w:w="12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2023年度永吉县社会保险基金预算收支情况表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9"/>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63" w:type="pct"/>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w:t>
            </w:r>
          </w:p>
        </w:tc>
        <w:tc>
          <w:tcPr>
            <w:tcW w:w="48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43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企业职工基本养老保险基金</w:t>
            </w:r>
          </w:p>
        </w:tc>
        <w:tc>
          <w:tcPr>
            <w:tcW w:w="511"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城乡居民基本养老保险基金</w:t>
            </w:r>
          </w:p>
        </w:tc>
        <w:tc>
          <w:tcPr>
            <w:tcW w:w="511"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机关事业单位基本养老保险基金</w:t>
            </w:r>
          </w:p>
        </w:tc>
        <w:tc>
          <w:tcPr>
            <w:tcW w:w="46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职工基本医疗保险(含生育保险)基金</w:t>
            </w:r>
          </w:p>
        </w:tc>
        <w:tc>
          <w:tcPr>
            <w:tcW w:w="46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城乡居民基本医疗保险基金</w:t>
            </w:r>
          </w:p>
        </w:tc>
        <w:tc>
          <w:tcPr>
            <w:tcW w:w="43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工伤保险基金</w:t>
            </w:r>
          </w:p>
        </w:tc>
        <w:tc>
          <w:tcPr>
            <w:tcW w:w="437"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失业保险基金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263" w:type="pct"/>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48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35"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511"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511"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6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6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35"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37"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一、收入</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54,544</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14,079</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40,465</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其中:社会保险费收入</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16,532</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2,726</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13,806</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财政补贴收入</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36,030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10,672</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25,358</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利息收入</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委托投资收益</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607</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607</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转移收入</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1,061</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1,036</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其他收入</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253</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236</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全国统筹调剂资金收入</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二、支出</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51,747</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10,699</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41,048</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其中:社会保险待遇支出</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49,945</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10,670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39,275</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转移支出</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1,244</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1,215</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558</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558</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全国统筹调剂资金支出</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三、本年收支结余</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2,797</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-583</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四、年末滚存结余</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30,267</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28,584</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1,683</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bl>
    <w:p/>
    <w:p>
      <w:pPr>
        <w:pStyle w:val="2"/>
      </w:pPr>
    </w:p>
    <w:p/>
    <w:p>
      <w:pPr>
        <w:pStyle w:val="4"/>
      </w:pPr>
    </w:p>
    <w:p/>
    <w:p>
      <w:pPr>
        <w:pStyle w:val="4"/>
      </w:pPr>
    </w:p>
    <w:p/>
    <w:p>
      <w:pPr>
        <w:pStyle w:val="4"/>
      </w:pPr>
    </w:p>
    <w:p/>
    <w:p>
      <w:pPr>
        <w:pStyle w:val="4"/>
      </w:pPr>
    </w:p>
    <w:p/>
    <w:p/>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580"/>
        <w:gridCol w:w="1378"/>
        <w:gridCol w:w="1233"/>
        <w:gridCol w:w="1449"/>
        <w:gridCol w:w="1449"/>
        <w:gridCol w:w="1304"/>
        <w:gridCol w:w="1304"/>
        <w:gridCol w:w="1233"/>
        <w:gridCol w:w="12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2023年度永吉县社会保险基金预算收支情况表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9"/>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63" w:type="pct"/>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w:t>
            </w:r>
          </w:p>
        </w:tc>
        <w:tc>
          <w:tcPr>
            <w:tcW w:w="48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43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企业职工基本养老保险基金</w:t>
            </w:r>
          </w:p>
        </w:tc>
        <w:tc>
          <w:tcPr>
            <w:tcW w:w="511"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城乡居民基本养老保险基金</w:t>
            </w:r>
          </w:p>
        </w:tc>
        <w:tc>
          <w:tcPr>
            <w:tcW w:w="511"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机关事业单位基本养老保险基金</w:t>
            </w:r>
          </w:p>
        </w:tc>
        <w:tc>
          <w:tcPr>
            <w:tcW w:w="46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职工基本医疗保险(含生育保险)基金</w:t>
            </w:r>
          </w:p>
        </w:tc>
        <w:tc>
          <w:tcPr>
            <w:tcW w:w="46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城乡居民基本医疗保险基金</w:t>
            </w:r>
          </w:p>
        </w:tc>
        <w:tc>
          <w:tcPr>
            <w:tcW w:w="43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工伤保险基金</w:t>
            </w:r>
          </w:p>
        </w:tc>
        <w:tc>
          <w:tcPr>
            <w:tcW w:w="437"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失业保险基金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263" w:type="pct"/>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48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35"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511"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511"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6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6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35"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37"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一、收入</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54,544</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14,079</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40,465</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其中:社会保险费收入</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16,532</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2,726</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13,806</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财政补贴收入</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36,030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10,672</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25,358</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利息收入</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委托投资收益</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607</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607</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转移收入</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1,061</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1,036</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其他收入</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253</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236</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全国统筹调剂资金收入</w:t>
            </w:r>
          </w:p>
        </w:tc>
        <w:tc>
          <w:tcPr>
            <w:tcW w:w="4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bl>
    <w:p>
      <w:pPr>
        <w:bidi w:val="0"/>
        <w:rPr>
          <w:lang w:val="en-US" w:eastAsia="zh-CN"/>
        </w:rPr>
      </w:pPr>
    </w:p>
    <w:p>
      <w:pPr>
        <w:pStyle w:val="2"/>
        <w:rPr>
          <w:lang w:val="en-US" w:eastAsia="zh-CN"/>
        </w:rPr>
      </w:pPr>
    </w:p>
    <w:p>
      <w:pPr>
        <w:rPr>
          <w:lang w:val="en-US" w:eastAsia="zh-CN"/>
        </w:rPr>
      </w:pPr>
    </w:p>
    <w:p>
      <w:pPr>
        <w:bidi w:val="0"/>
        <w:rPr>
          <w:lang w:val="en-US" w:eastAsia="zh-CN"/>
        </w:rPr>
      </w:pP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77"/>
        <w:gridCol w:w="1349"/>
        <w:gridCol w:w="1026"/>
        <w:gridCol w:w="1349"/>
        <w:gridCol w:w="1349"/>
        <w:gridCol w:w="1230"/>
        <w:gridCol w:w="1026"/>
        <w:gridCol w:w="1027"/>
        <w:gridCol w:w="10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2023年度永吉县社会保险基金预算收支情况表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9"/>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85" w:type="pct"/>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w:t>
            </w:r>
          </w:p>
        </w:tc>
        <w:tc>
          <w:tcPr>
            <w:tcW w:w="47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362"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企业职工基本养老保险基金</w:t>
            </w:r>
          </w:p>
        </w:tc>
        <w:tc>
          <w:tcPr>
            <w:tcW w:w="47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城乡居民基本养老保险基金</w:t>
            </w:r>
          </w:p>
        </w:tc>
        <w:tc>
          <w:tcPr>
            <w:tcW w:w="47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机关事业单位基本养老保险基金</w:t>
            </w:r>
          </w:p>
        </w:tc>
        <w:tc>
          <w:tcPr>
            <w:tcW w:w="434"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职工基本医疗保险(含生育保险)基金</w:t>
            </w:r>
          </w:p>
        </w:tc>
        <w:tc>
          <w:tcPr>
            <w:tcW w:w="362"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城乡居民基本医疗保险基金</w:t>
            </w:r>
          </w:p>
        </w:tc>
        <w:tc>
          <w:tcPr>
            <w:tcW w:w="362"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工伤保险基金</w:t>
            </w:r>
          </w:p>
        </w:tc>
        <w:tc>
          <w:tcPr>
            <w:tcW w:w="364"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失业保险基金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85" w:type="pct"/>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47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362"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7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7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34"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362"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362"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364"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二、支出</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51,747</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10,699</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41,048</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其中:社会保险待遇支出</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49,945</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10,670</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39,275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转移支出</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1,244</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558</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558</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全国统筹调剂资金支出</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三、本年收支结余</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2,797</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3,380</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-583</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四、年末滚存结余</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30,267</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28,584</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1,683</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bl>
    <w:p>
      <w:pPr>
        <w:bidi w:val="0"/>
        <w:jc w:val="left"/>
        <w:rPr>
          <w:lang w:val="en-US" w:eastAsia="zh-CN"/>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docGrid w:type="lines" w:linePitch="319" w:charSpace="0"/>
        </w:sectPr>
      </w:pPr>
    </w:p>
    <w:p>
      <w:pPr>
        <w:spacing w:line="600" w:lineRule="exact"/>
        <w:ind w:firstLine="883" w:firstLineChars="200"/>
        <w:jc w:val="center"/>
        <w:rPr>
          <w:rFonts w:hint="eastAsia" w:ascii="宋体" w:hAnsi="宋体" w:eastAsia="宋体" w:cs="宋体"/>
          <w:b/>
          <w:bCs/>
          <w:sz w:val="44"/>
          <w:szCs w:val="44"/>
          <w:lang w:eastAsia="en-US"/>
        </w:rPr>
      </w:pPr>
      <w:bookmarkStart w:id="83" w:name="_Toc15975"/>
      <w:bookmarkStart w:id="84" w:name="_Toc1163"/>
      <w:bookmarkStart w:id="85" w:name="_Toc23625"/>
      <w:r>
        <w:rPr>
          <w:rFonts w:hint="eastAsia" w:ascii="宋体" w:hAnsi="宋体" w:eastAsia="宋体" w:cs="宋体"/>
          <w:b/>
          <w:bCs/>
          <w:sz w:val="44"/>
          <w:szCs w:val="44"/>
          <w:lang w:val="en-US" w:eastAsia="zh-CN"/>
        </w:rPr>
        <w:t>2023</w:t>
      </w:r>
      <w:r>
        <w:rPr>
          <w:rFonts w:hint="eastAsia" w:ascii="宋体" w:hAnsi="宋体" w:eastAsia="宋体" w:cs="宋体"/>
          <w:b/>
          <w:bCs/>
          <w:sz w:val="44"/>
          <w:szCs w:val="44"/>
          <w:lang w:eastAsia="en-US"/>
        </w:rPr>
        <w:t>年永吉县社会保险基金</w:t>
      </w:r>
      <w:bookmarkEnd w:id="83"/>
      <w:bookmarkEnd w:id="84"/>
      <w:bookmarkEnd w:id="85"/>
    </w:p>
    <w:p>
      <w:pPr>
        <w:spacing w:line="600" w:lineRule="exact"/>
        <w:ind w:firstLine="883" w:firstLineChars="200"/>
        <w:jc w:val="center"/>
        <w:rPr>
          <w:rFonts w:hint="eastAsia" w:ascii="宋体" w:hAnsi="宋体" w:eastAsia="宋体" w:cs="宋体"/>
          <w:b/>
          <w:bCs/>
          <w:sz w:val="44"/>
          <w:szCs w:val="44"/>
          <w:lang w:eastAsia="en-US"/>
        </w:rPr>
      </w:pPr>
      <w:bookmarkStart w:id="86" w:name="_Toc32180"/>
      <w:bookmarkStart w:id="87" w:name="_Toc15892"/>
      <w:bookmarkStart w:id="88" w:name="_Toc6761"/>
      <w:r>
        <w:rPr>
          <w:rFonts w:hint="eastAsia" w:ascii="宋体" w:hAnsi="宋体" w:eastAsia="宋体" w:cs="宋体"/>
          <w:b/>
          <w:bCs/>
          <w:sz w:val="44"/>
          <w:szCs w:val="44"/>
          <w:lang w:eastAsia="en-US"/>
        </w:rPr>
        <w:t>收支完成情况</w:t>
      </w:r>
      <w:bookmarkEnd w:id="86"/>
      <w:bookmarkEnd w:id="87"/>
      <w:bookmarkEnd w:id="88"/>
    </w:p>
    <w:p>
      <w:pPr>
        <w:spacing w:line="600" w:lineRule="exact"/>
        <w:jc w:val="both"/>
        <w:rPr>
          <w:rFonts w:ascii="Times New Roman" w:hAnsi="Times New Roman" w:eastAsia="仿宋" w:cs="Times New Roman"/>
          <w:b/>
          <w:bCs/>
          <w:sz w:val="44"/>
          <w:szCs w:val="44"/>
          <w:lang w:eastAsia="en-US"/>
        </w:rPr>
      </w:pPr>
    </w:p>
    <w:p>
      <w:pPr>
        <w:adjustRightInd w:val="0"/>
        <w:snapToGrid w:val="0"/>
        <w:spacing w:line="576" w:lineRule="exact"/>
        <w:ind w:firstLine="640" w:firstLineChars="200"/>
        <w:rPr>
          <w:rFonts w:eastAsia="仿宋_GB2312"/>
          <w:bCs/>
          <w:sz w:val="32"/>
          <w:szCs w:val="32"/>
        </w:rPr>
      </w:pPr>
      <w:r>
        <w:rPr>
          <w:rFonts w:eastAsia="仿宋_GB2312"/>
          <w:bCs/>
          <w:sz w:val="32"/>
          <w:szCs w:val="32"/>
        </w:rPr>
        <w:t xml:space="preserve">2023年，我县社会保险基金收入完成54,544万元，其中：保险费收入16,532万元，财政补贴收入36,030万元，利息收入61万元，委托投资收益607万元，转移收入1,061万元，其他收入253万元。当年支出51,747万元，其中：社会保险待遇支出49,945万元，转移支出1,244万元，其他支出558万元，当年结余2,797万元，年末滚存结余30,267万元。具体项目如下： </w:t>
      </w:r>
    </w:p>
    <w:p>
      <w:pPr>
        <w:adjustRightInd w:val="0"/>
        <w:snapToGrid w:val="0"/>
        <w:spacing w:line="576" w:lineRule="exact"/>
        <w:ind w:firstLine="640" w:firstLineChars="200"/>
        <w:rPr>
          <w:rFonts w:eastAsia="仿宋_GB2312"/>
          <w:bCs/>
          <w:sz w:val="32"/>
          <w:szCs w:val="32"/>
        </w:rPr>
      </w:pPr>
      <w:r>
        <w:rPr>
          <w:rFonts w:eastAsia="仿宋_GB2312"/>
          <w:bCs/>
          <w:sz w:val="32"/>
          <w:szCs w:val="32"/>
        </w:rPr>
        <w:t>1.城乡居民基本养老保险基金，城乡居民基本养老保险基金收入14,079万元，其中：个人缴费收入2,726万元，财政补贴收入10,672万元，利息收入32万元，委托投资收益607万元，转移收入25万元，其他收入17万元。当年支出10,699万元，其中：养老待遇支出10,670万元，转移支出29万元。当年结余3,380万元，年末滚存结余28,584万元。</w:t>
      </w:r>
    </w:p>
    <w:p>
      <w:pPr>
        <w:adjustRightInd w:val="0"/>
        <w:snapToGrid w:val="0"/>
        <w:spacing w:line="576" w:lineRule="exact"/>
        <w:ind w:firstLine="640" w:firstLineChars="200"/>
        <w:rPr>
          <w:rFonts w:eastAsia="仿宋_GB2312"/>
          <w:bCs/>
          <w:sz w:val="32"/>
          <w:szCs w:val="32"/>
        </w:rPr>
      </w:pPr>
      <w:r>
        <w:rPr>
          <w:rFonts w:eastAsia="仿宋_GB2312"/>
          <w:bCs/>
          <w:sz w:val="32"/>
          <w:szCs w:val="32"/>
        </w:rPr>
        <w:t>2.机关事业单位基本养老保险基金，机关事业单位基本养老保险基金收入40,465万元，其中：保费征缴收入13,806万元，财政补贴收入25,358万元，利息收入29万元，转移收入1,036万元，其他收入236万元。当年支出41,048万元，其中：待遇支出39,275万元，转移支出1,215万元，其他支出558万元。当年结余-583万元，年末滚存结余1,683万元。</w:t>
      </w:r>
    </w:p>
    <w:p>
      <w:pPr>
        <w:spacing w:line="576" w:lineRule="exact"/>
        <w:ind w:firstLine="640" w:firstLineChars="200"/>
        <w:rPr>
          <w:rFonts w:ascii="Times New Roman" w:hAnsi="Times New Roman" w:eastAsia="仿宋" w:cs="Times New Roman"/>
          <w:sz w:val="32"/>
          <w:szCs w:val="32"/>
        </w:rPr>
      </w:pPr>
    </w:p>
    <w:p>
      <w:pPr>
        <w:spacing w:line="576" w:lineRule="exact"/>
        <w:ind w:firstLine="640" w:firstLineChars="200"/>
        <w:rPr>
          <w:rFonts w:ascii="Times New Roman" w:hAnsi="Times New Roman" w:eastAsia="仿宋" w:cs="Times New Roman"/>
          <w:sz w:val="32"/>
          <w:szCs w:val="32"/>
        </w:rPr>
      </w:pPr>
    </w:p>
    <w:p/>
    <w:p/>
    <w:p/>
    <w:p/>
    <w:p/>
    <w:p/>
    <w:p/>
    <w:p/>
    <w:p/>
    <w:p/>
    <w:p/>
    <w:p/>
    <w:p/>
    <w:p/>
    <w:p/>
    <w:p/>
    <w:p/>
    <w:p/>
    <w:p/>
    <w:p/>
    <w:p/>
    <w:p/>
    <w:p/>
    <w:p>
      <w:pPr>
        <w:spacing w:line="600" w:lineRule="exact"/>
        <w:jc w:val="both"/>
        <w:rPr>
          <w:rFonts w:ascii="Times New Roman" w:hAnsi="Times New Roman" w:eastAsia="仿宋" w:cs="Times New Roman"/>
          <w:b/>
          <w:bCs/>
          <w:sz w:val="44"/>
          <w:szCs w:val="44"/>
        </w:rPr>
      </w:pPr>
      <w:bookmarkStart w:id="89" w:name="_Toc22433"/>
    </w:p>
    <w:p>
      <w:pPr>
        <w:spacing w:line="600" w:lineRule="exact"/>
        <w:ind w:firstLine="883" w:firstLineChars="200"/>
        <w:jc w:val="center"/>
        <w:rPr>
          <w:rFonts w:hint="eastAsia" w:ascii="宋体" w:hAnsi="宋体" w:eastAsia="宋体" w:cs="宋体"/>
          <w:b/>
          <w:bCs/>
          <w:sz w:val="44"/>
          <w:szCs w:val="44"/>
          <w:lang w:eastAsia="en-US"/>
        </w:rPr>
      </w:pPr>
      <w:bookmarkStart w:id="90" w:name="_Toc5030"/>
      <w:bookmarkStart w:id="91" w:name="_Toc32532"/>
    </w:p>
    <w:p>
      <w:pPr>
        <w:spacing w:line="600" w:lineRule="exact"/>
        <w:ind w:firstLine="883" w:firstLineChars="200"/>
        <w:jc w:val="center"/>
        <w:rPr>
          <w:rFonts w:hint="eastAsia" w:ascii="宋体" w:hAnsi="宋体" w:eastAsia="宋体" w:cs="宋体"/>
          <w:b/>
          <w:bCs/>
          <w:sz w:val="44"/>
          <w:szCs w:val="44"/>
          <w:lang w:eastAsia="en-US"/>
        </w:rPr>
      </w:pPr>
    </w:p>
    <w:p>
      <w:pPr>
        <w:spacing w:line="600" w:lineRule="exact"/>
        <w:ind w:firstLine="883" w:firstLineChars="200"/>
        <w:jc w:val="center"/>
        <w:rPr>
          <w:rFonts w:hint="eastAsia" w:ascii="宋体" w:hAnsi="宋体" w:eastAsia="宋体" w:cs="宋体"/>
          <w:b/>
          <w:bCs/>
          <w:sz w:val="44"/>
          <w:szCs w:val="44"/>
          <w:lang w:eastAsia="en-US"/>
        </w:rPr>
      </w:pPr>
    </w:p>
    <w:p>
      <w:pPr>
        <w:spacing w:line="600" w:lineRule="exact"/>
        <w:ind w:firstLine="883" w:firstLineChars="200"/>
        <w:jc w:val="center"/>
        <w:rPr>
          <w:rFonts w:hint="eastAsia" w:ascii="宋体" w:hAnsi="宋体" w:eastAsia="宋体" w:cs="宋体"/>
          <w:b/>
          <w:bCs/>
          <w:sz w:val="44"/>
          <w:szCs w:val="44"/>
          <w:lang w:eastAsia="en-US"/>
        </w:rPr>
      </w:pPr>
    </w:p>
    <w:p>
      <w:pPr>
        <w:spacing w:line="600" w:lineRule="exact"/>
        <w:ind w:firstLine="883" w:firstLineChars="200"/>
        <w:jc w:val="center"/>
        <w:rPr>
          <w:rFonts w:hint="eastAsia" w:ascii="宋体" w:hAnsi="宋体" w:eastAsia="宋体" w:cs="宋体"/>
          <w:b/>
          <w:bCs/>
          <w:sz w:val="44"/>
          <w:szCs w:val="44"/>
          <w:lang w:eastAsia="en-US"/>
        </w:rPr>
      </w:pPr>
    </w:p>
    <w:p>
      <w:pPr>
        <w:spacing w:line="600" w:lineRule="exact"/>
        <w:ind w:firstLine="883" w:firstLineChars="200"/>
        <w:jc w:val="center"/>
        <w:rPr>
          <w:rFonts w:hint="eastAsia" w:ascii="宋体" w:hAnsi="宋体" w:eastAsia="宋体" w:cs="宋体"/>
          <w:b/>
          <w:bCs/>
          <w:sz w:val="44"/>
          <w:szCs w:val="44"/>
          <w:lang w:eastAsia="en-US"/>
        </w:rPr>
      </w:pPr>
      <w:r>
        <w:rPr>
          <w:rFonts w:hint="eastAsia" w:ascii="宋体" w:hAnsi="宋体" w:eastAsia="宋体" w:cs="宋体"/>
          <w:b/>
          <w:bCs/>
          <w:sz w:val="44"/>
          <w:szCs w:val="44"/>
          <w:lang w:eastAsia="en-US"/>
        </w:rPr>
        <w:t>重要事项解释说明</w:t>
      </w:r>
      <w:bookmarkEnd w:id="89"/>
      <w:bookmarkEnd w:id="90"/>
      <w:bookmarkEnd w:id="91"/>
    </w:p>
    <w:p/>
    <w:p/>
    <w:p/>
    <w:p/>
    <w:p/>
    <w:p/>
    <w:p/>
    <w:p/>
    <w:p>
      <w:pPr>
        <w:spacing w:line="600" w:lineRule="exact"/>
        <w:ind w:firstLine="440" w:firstLineChars="200"/>
        <w:jc w:val="center"/>
      </w:pPr>
    </w:p>
    <w:p>
      <w:pPr>
        <w:pStyle w:val="4"/>
      </w:pPr>
    </w:p>
    <w:p/>
    <w:p>
      <w:pPr>
        <w:pStyle w:val="4"/>
      </w:pPr>
    </w:p>
    <w:p/>
    <w:p>
      <w:pPr>
        <w:pStyle w:val="4"/>
      </w:pPr>
    </w:p>
    <w:p/>
    <w:p>
      <w:pPr>
        <w:pStyle w:val="4"/>
        <w:rPr>
          <w:rFonts w:hint="eastAsia"/>
          <w:lang w:eastAsia="en-US"/>
        </w:rPr>
      </w:pPr>
      <w:bookmarkStart w:id="92" w:name="_Toc28003"/>
      <w:bookmarkStart w:id="93" w:name="_Toc29264"/>
      <w:bookmarkStart w:id="94" w:name="_Toc16659"/>
    </w:p>
    <w:p>
      <w:pPr>
        <w:rPr>
          <w:rFonts w:hint="eastAsia"/>
          <w:lang w:eastAsia="en-US"/>
        </w:rPr>
      </w:pPr>
    </w:p>
    <w:p>
      <w:pPr>
        <w:spacing w:line="600" w:lineRule="exact"/>
        <w:ind w:firstLine="883" w:firstLineChars="200"/>
        <w:jc w:val="center"/>
        <w:rPr>
          <w:rFonts w:ascii="Times New Roman" w:hAnsi="Times New Roman" w:eastAsia="仿宋" w:cs="Times New Roman"/>
          <w:b/>
          <w:bCs/>
          <w:sz w:val="44"/>
          <w:szCs w:val="44"/>
        </w:rPr>
      </w:pPr>
      <w:r>
        <w:rPr>
          <w:rFonts w:hint="eastAsia" w:ascii="宋体" w:hAnsi="宋体" w:eastAsia="宋体" w:cs="宋体"/>
          <w:b/>
          <w:bCs/>
          <w:sz w:val="44"/>
          <w:szCs w:val="44"/>
          <w:lang w:eastAsia="en-US"/>
        </w:rPr>
        <w:t>举借</w:t>
      </w:r>
      <w:r>
        <w:rPr>
          <w:rFonts w:hint="eastAsia" w:ascii="宋体" w:hAnsi="宋体" w:eastAsia="宋体" w:cs="宋体"/>
          <w:b/>
          <w:bCs/>
          <w:sz w:val="44"/>
          <w:szCs w:val="44"/>
          <w:lang w:eastAsia="zh-CN"/>
        </w:rPr>
        <w:t>政府</w:t>
      </w:r>
      <w:r>
        <w:rPr>
          <w:rFonts w:hint="eastAsia" w:ascii="宋体" w:hAnsi="宋体" w:eastAsia="宋体" w:cs="宋体"/>
          <w:b/>
          <w:bCs/>
          <w:sz w:val="44"/>
          <w:szCs w:val="44"/>
          <w:lang w:eastAsia="en-US"/>
        </w:rPr>
        <w:t>债务情况</w:t>
      </w:r>
      <w:bookmarkEnd w:id="92"/>
      <w:r>
        <w:rPr>
          <w:rFonts w:hint="eastAsia" w:ascii="宋体" w:hAnsi="宋体" w:eastAsia="宋体" w:cs="宋体"/>
          <w:b/>
          <w:bCs/>
          <w:sz w:val="44"/>
          <w:szCs w:val="44"/>
          <w:lang w:eastAsia="en-US"/>
        </w:rPr>
        <w:t>说明</w:t>
      </w:r>
      <w:bookmarkEnd w:id="93"/>
      <w:bookmarkEnd w:id="94"/>
    </w:p>
    <w:p>
      <w:pPr>
        <w:pStyle w:val="2"/>
        <w:rPr>
          <w:rFonts w:hint="default" w:ascii="Times New Roman" w:hAnsi="Times New Roman" w:eastAsia="仿宋_GB2312" w:cs="Times New Roman"/>
          <w:b w:val="0"/>
          <w:bCs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color w:val="auto"/>
          <w:sz w:val="32"/>
          <w:szCs w:val="32"/>
          <w:lang w:val="en-US" w:eastAsia="zh-CN"/>
        </w:rPr>
        <w:t>（一）政府债务结构。</w:t>
      </w:r>
    </w:p>
    <w:p>
      <w:pPr>
        <w:pStyle w:val="2"/>
        <w:rPr>
          <w:rFonts w:hint="default"/>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214"/>
        <w:gridCol w:w="1214"/>
        <w:gridCol w:w="1214"/>
        <w:gridCol w:w="1218"/>
        <w:gridCol w:w="1214"/>
        <w:gridCol w:w="1215"/>
        <w:gridCol w:w="12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0" w:hRule="atLeast"/>
        </w:trPr>
        <w:tc>
          <w:tcPr>
            <w:tcW w:w="5000" w:type="pct"/>
            <w:gridSpan w:val="7"/>
            <w:tcBorders>
              <w:top w:val="nil"/>
              <w:left w:val="nil"/>
              <w:bottom w:val="nil"/>
              <w:right w:val="nil"/>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30"/>
                <w:szCs w:val="30"/>
                <w:u w:val="none"/>
              </w:rPr>
            </w:pPr>
            <w:r>
              <w:rPr>
                <w:rFonts w:ascii="宋体" w:hAnsi="宋体" w:eastAsia="宋体" w:cs="宋体"/>
                <w:b/>
                <w:bCs/>
                <w:i w:val="0"/>
                <w:iCs w:val="0"/>
                <w:color w:val="000000"/>
                <w:kern w:val="0"/>
                <w:sz w:val="30"/>
                <w:szCs w:val="30"/>
                <w:u w:val="none"/>
                <w:bdr w:val="none" w:color="auto" w:sz="0" w:space="0"/>
                <w:lang w:val="en-US" w:eastAsia="zh-CN" w:bidi="ar"/>
              </w:rPr>
              <w:t>永吉县2023年地方政府债务限额及余额决算情况表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713" w:type="pct"/>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713" w:type="pct"/>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713" w:type="pct"/>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713" w:type="pct"/>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713" w:type="pct"/>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713" w:type="pct"/>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716" w:type="pct"/>
            <w:tcBorders>
              <w:top w:val="nil"/>
              <w:left w:val="nil"/>
              <w:bottom w:val="nil"/>
              <w:right w:val="nil"/>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713"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地   区</w:t>
            </w:r>
          </w:p>
        </w:tc>
        <w:tc>
          <w:tcPr>
            <w:tcW w:w="214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2023年债务限额</w:t>
            </w:r>
          </w:p>
        </w:tc>
        <w:tc>
          <w:tcPr>
            <w:tcW w:w="2144"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2022年债务余额（决算数）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713"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2"/>
                <w:szCs w:val="22"/>
                <w:u w:val="none"/>
              </w:rPr>
            </w:pPr>
          </w:p>
        </w:tc>
        <w:tc>
          <w:tcPr>
            <w:tcW w:w="71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2"/>
                <w:szCs w:val="22"/>
                <w:u w:val="none"/>
              </w:rPr>
            </w:pPr>
          </w:p>
        </w:tc>
        <w:tc>
          <w:tcPr>
            <w:tcW w:w="7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一般债务</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专项债务</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2"/>
                <w:szCs w:val="22"/>
                <w:u w:val="none"/>
              </w:rPr>
            </w:pPr>
          </w:p>
        </w:tc>
        <w:tc>
          <w:tcPr>
            <w:tcW w:w="7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一般债务</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专项债务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7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公  式</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A=B+C</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B</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C</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D=E+F</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E</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7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永吉县</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59.01</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31.99</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27.02</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58.73</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31.71</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27.02</w:t>
            </w:r>
          </w:p>
        </w:tc>
      </w:tr>
    </w:tbl>
    <w:p>
      <w:pPr>
        <w:pStyle w:val="2"/>
        <w:jc w:val="both"/>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b w:val="0"/>
          <w:bCs/>
          <w:color w:val="auto"/>
          <w:sz w:val="32"/>
          <w:szCs w:val="32"/>
          <w:lang w:val="en-US" w:eastAsia="zh-CN"/>
        </w:rPr>
        <w:t>（二）</w:t>
      </w:r>
      <w:r>
        <w:rPr>
          <w:rFonts w:hint="default" w:ascii="Times New Roman" w:hAnsi="Times New Roman" w:eastAsia="仿宋_GB2312" w:cs="Times New Roman"/>
          <w:b w:val="0"/>
          <w:bCs/>
          <w:color w:val="auto"/>
          <w:sz w:val="32"/>
          <w:szCs w:val="32"/>
          <w:lang w:val="en-US" w:eastAsia="zh-CN"/>
        </w:rPr>
        <w:t>政府债券使用方向。</w:t>
      </w:r>
    </w:p>
    <w:p>
      <w:pPr>
        <w:rPr>
          <w:rFonts w:hint="default"/>
        </w:rPr>
        <w:sectPr>
          <w:pgSz w:w="11906" w:h="16838"/>
          <w:pgMar w:top="1440" w:right="1803" w:bottom="1440" w:left="1803" w:header="851" w:footer="992" w:gutter="0"/>
          <w:pgBorders>
            <w:top w:val="none" w:sz="0" w:space="0"/>
            <w:left w:val="none" w:sz="0" w:space="0"/>
            <w:bottom w:val="none" w:sz="0" w:space="0"/>
            <w:right w:val="none" w:sz="0" w:space="0"/>
          </w:pgBorders>
          <w:pgNumType w:fmt="numberInDash"/>
          <w:cols w:space="0" w:num="1"/>
          <w:docGrid w:type="lines" w:linePitch="319" w:charSpace="0"/>
        </w:sect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2161"/>
        <w:gridCol w:w="4396"/>
        <w:gridCol w:w="1589"/>
        <w:gridCol w:w="1382"/>
        <w:gridCol w:w="1512"/>
        <w:gridCol w:w="1305"/>
        <w:gridCol w:w="1062"/>
        <w:gridCol w:w="7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2" w:hRule="atLeast"/>
        </w:trPr>
        <w:tc>
          <w:tcPr>
            <w:tcW w:w="5000" w:type="pct"/>
            <w:gridSpan w:val="8"/>
            <w:tcBorders>
              <w:top w:val="nil"/>
              <w:left w:val="nil"/>
              <w:bottom w:val="nil"/>
              <w:right w:val="nil"/>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30"/>
                <w:szCs w:val="30"/>
                <w:u w:val="none"/>
              </w:rPr>
            </w:pPr>
            <w:r>
              <w:rPr>
                <w:rFonts w:ascii="宋体" w:hAnsi="宋体" w:eastAsia="宋体" w:cs="宋体"/>
                <w:b/>
                <w:bCs/>
                <w:i w:val="0"/>
                <w:iCs w:val="0"/>
                <w:color w:val="000000"/>
                <w:kern w:val="0"/>
                <w:sz w:val="30"/>
                <w:szCs w:val="30"/>
                <w:u w:val="none"/>
                <w:bdr w:val="none" w:color="auto" w:sz="0" w:space="0"/>
                <w:lang w:val="en-US" w:eastAsia="zh-CN" w:bidi="ar"/>
              </w:rPr>
              <w:t>2023年地方政府债券使用情况表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5000" w:type="pct"/>
            <w:gridSpan w:val="8"/>
            <w:tcBorders>
              <w:top w:val="nil"/>
              <w:left w:val="nil"/>
              <w:bottom w:val="nil"/>
              <w:right w:val="nil"/>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8" w:space="0"/>
              <w:left w:val="nil"/>
              <w:bottom w:val="nil"/>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项目名称</w:t>
            </w:r>
          </w:p>
        </w:tc>
        <w:tc>
          <w:tcPr>
            <w:tcW w:w="963" w:type="pct"/>
            <w:tcBorders>
              <w:top w:val="single" w:color="000000" w:sz="8" w:space="0"/>
              <w:left w:val="single" w:color="000000" w:sz="4" w:space="0"/>
              <w:bottom w:val="nil"/>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项目编号</w:t>
            </w:r>
          </w:p>
        </w:tc>
        <w:tc>
          <w:tcPr>
            <w:tcW w:w="649" w:type="pct"/>
            <w:tcBorders>
              <w:top w:val="single" w:color="000000" w:sz="8" w:space="0"/>
              <w:left w:val="single" w:color="000000" w:sz="4" w:space="0"/>
              <w:bottom w:val="nil"/>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项目领域</w:t>
            </w:r>
          </w:p>
        </w:tc>
        <w:tc>
          <w:tcPr>
            <w:tcW w:w="576" w:type="pct"/>
            <w:tcBorders>
              <w:top w:val="single" w:color="000000" w:sz="8" w:space="0"/>
              <w:left w:val="single" w:color="000000" w:sz="4" w:space="0"/>
              <w:bottom w:val="nil"/>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项目主管部门</w:t>
            </w:r>
          </w:p>
        </w:tc>
        <w:tc>
          <w:tcPr>
            <w:tcW w:w="622" w:type="pct"/>
            <w:tcBorders>
              <w:top w:val="single" w:color="000000" w:sz="8" w:space="0"/>
              <w:left w:val="single" w:color="000000" w:sz="4" w:space="0"/>
              <w:bottom w:val="nil"/>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项目实施单位</w:t>
            </w:r>
          </w:p>
        </w:tc>
        <w:tc>
          <w:tcPr>
            <w:tcW w:w="549" w:type="pct"/>
            <w:tcBorders>
              <w:top w:val="single" w:color="000000" w:sz="8" w:space="0"/>
              <w:left w:val="single" w:color="000000" w:sz="4" w:space="0"/>
              <w:bottom w:val="nil"/>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债券性质</w:t>
            </w:r>
          </w:p>
        </w:tc>
        <w:tc>
          <w:tcPr>
            <w:tcW w:w="463" w:type="pct"/>
            <w:tcBorders>
              <w:top w:val="single" w:color="000000" w:sz="8" w:space="0"/>
              <w:left w:val="single" w:color="000000" w:sz="4" w:space="0"/>
              <w:bottom w:val="nil"/>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债券规模</w:t>
            </w:r>
          </w:p>
        </w:tc>
        <w:tc>
          <w:tcPr>
            <w:tcW w:w="324" w:type="pct"/>
            <w:tcBorders>
              <w:top w:val="single" w:color="000000" w:sz="8" w:space="0"/>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发行时间（年/月）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永吉县县城供水设施提升保障实施工程</w:t>
            </w:r>
          </w:p>
        </w:tc>
        <w:tc>
          <w:tcPr>
            <w:tcW w:w="963"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P20220221-0074</w:t>
            </w:r>
          </w:p>
        </w:tc>
        <w:tc>
          <w:tcPr>
            <w:tcW w:w="6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供水</w:t>
            </w:r>
          </w:p>
        </w:tc>
        <w:tc>
          <w:tcPr>
            <w:tcW w:w="57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建设</w:t>
            </w:r>
          </w:p>
        </w:tc>
        <w:tc>
          <w:tcPr>
            <w:tcW w:w="62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永吉县住房和城乡建设局</w:t>
            </w:r>
          </w:p>
        </w:tc>
        <w:tc>
          <w:tcPr>
            <w:tcW w:w="5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其他领域专项债券</w:t>
            </w:r>
          </w:p>
        </w:tc>
        <w:tc>
          <w:tcPr>
            <w:tcW w:w="463"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3.36</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963"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576"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62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463"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22"/>
                <w:szCs w:val="22"/>
                <w:u w:val="none"/>
              </w:rPr>
            </w:pP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 2020年永吉县老旧小区改造项目（屋面防水和立面改造）</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P20220221-0055</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城镇老旧小区改造</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建设</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永吉县住房和城乡建设局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2.25</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永吉县实验职业高中建设项目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P20220221-0066</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职业教育</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教育</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永吉县教育局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其他领域专项债券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0.44</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永吉县2022年水毁桥涵改建工程</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P21220221-0015</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桥梁</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交通</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永吉县交通运输局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1.08</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2021永吉县2021年农村公路桥涵建设项目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P21220221-0005</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农村公路</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对外贸易经济合作</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永吉县永兴国有资产经营集团有限公司</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1.08</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永吉县电子信息产业园区建设项目</w:t>
            </w:r>
          </w:p>
        </w:tc>
        <w:tc>
          <w:tcPr>
            <w:tcW w:w="963"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P21220221-0019</w:t>
            </w:r>
          </w:p>
        </w:tc>
        <w:tc>
          <w:tcPr>
            <w:tcW w:w="6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产业园区基础设施</w:t>
            </w:r>
          </w:p>
        </w:tc>
        <w:tc>
          <w:tcPr>
            <w:tcW w:w="57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开发区</w:t>
            </w:r>
          </w:p>
        </w:tc>
        <w:tc>
          <w:tcPr>
            <w:tcW w:w="62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吉林市冠隆基础设施开发有限公司</w:t>
            </w:r>
          </w:p>
        </w:tc>
        <w:tc>
          <w:tcPr>
            <w:tcW w:w="5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其他领域专项债券</w:t>
            </w:r>
          </w:p>
        </w:tc>
        <w:tc>
          <w:tcPr>
            <w:tcW w:w="463"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3.96</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963"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576"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62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463"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22"/>
                <w:szCs w:val="22"/>
                <w:u w:val="none"/>
              </w:rPr>
            </w:pP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963"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576"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62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463"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22"/>
                <w:szCs w:val="22"/>
                <w:u w:val="none"/>
              </w:rPr>
            </w:pP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永吉隧道装备制造产业园建设项目</w:t>
            </w:r>
          </w:p>
        </w:tc>
        <w:tc>
          <w:tcPr>
            <w:tcW w:w="963"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P22220221-0002</w:t>
            </w:r>
          </w:p>
        </w:tc>
        <w:tc>
          <w:tcPr>
            <w:tcW w:w="6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产业园区基础设施</w:t>
            </w:r>
          </w:p>
        </w:tc>
        <w:tc>
          <w:tcPr>
            <w:tcW w:w="57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开发区</w:t>
            </w:r>
          </w:p>
        </w:tc>
        <w:tc>
          <w:tcPr>
            <w:tcW w:w="62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吉林市冠隆基础设施开发有限公司</w:t>
            </w:r>
          </w:p>
        </w:tc>
        <w:tc>
          <w:tcPr>
            <w:tcW w:w="5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其他领域专项债券</w:t>
            </w:r>
          </w:p>
        </w:tc>
        <w:tc>
          <w:tcPr>
            <w:tcW w:w="463"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1.55</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963"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576"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62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463"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22"/>
                <w:szCs w:val="22"/>
                <w:u w:val="none"/>
              </w:rPr>
            </w:pP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963"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576"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62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463"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22"/>
                <w:szCs w:val="22"/>
                <w:u w:val="none"/>
              </w:rPr>
            </w:pP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永吉县人民医院传染病院区隔离点改造项目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P22220221-0004</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公立医院</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卫生</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永吉县卫生局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0.46</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2020永吉县实验幼儿园建设项目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P19220221-0048</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学龄前教育</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教育</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永吉县教育局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2.84</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永吉县2022 年乡村振兴基础设施建设项目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P21220221-0016</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农村人居环境整治</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对外贸易经济合作</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永吉县永兴国有资产经营集团有限公司</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1.08</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2020永吉县第三社会福利服务中心老年养护楼建设项目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P19220221-0036</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社会福利机构</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民政</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永吉县民政局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1.62</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永吉经济开发区创新创业基地建设项目(二期）</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P20220221-0036</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产业园区基础设施</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开发区</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永吉经济开发区</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其他领域专项债券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0.98</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2020永吉县第一幼儿园新建项目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P20220221-0031</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其他教育</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教育</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永吉县教育局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1.62</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永吉县朝一中隔离点改造工程项目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P22220221-0006</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应急医疗体系</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对外贸易经济合作</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永吉县永兴国有资产经营集团有限公司</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0.46</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永吉县一拉溪镇2020年乡镇基础设施改造项目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P20220221-0041</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农村人居环境整治</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人民政府</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永吉县一拉溪镇人民政府</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1.62</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2021永吉县2021年东北黑土地保护建设项目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P21220221-0008</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高标准农田建设</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农业</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永吉县农业局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0.21</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永吉县2022年县道双黄岔道路改建工程 （双河镇-黄榆乡会源德段）</w:t>
            </w:r>
          </w:p>
        </w:tc>
        <w:tc>
          <w:tcPr>
            <w:tcW w:w="963"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P21220221-0014</w:t>
            </w:r>
          </w:p>
        </w:tc>
        <w:tc>
          <w:tcPr>
            <w:tcW w:w="6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农村公路</w:t>
            </w:r>
          </w:p>
        </w:tc>
        <w:tc>
          <w:tcPr>
            <w:tcW w:w="57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交通</w:t>
            </w:r>
          </w:p>
        </w:tc>
        <w:tc>
          <w:tcPr>
            <w:tcW w:w="62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永吉县交通运输局</w:t>
            </w:r>
          </w:p>
        </w:tc>
        <w:tc>
          <w:tcPr>
            <w:tcW w:w="5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3.16</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963"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576"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62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463"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22"/>
                <w:szCs w:val="22"/>
                <w:u w:val="none"/>
              </w:rPr>
            </w:pP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2021永吉县四间水库工程</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P20220221-0070</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防汛抗旱水利提升工程</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水利</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永吉县水利局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3.10</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2021永吉县碾子沟水库罐区渠系水毁改造工程项目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P20220221-0071</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防汛抗旱水利提升工程</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水利</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永吉县水利局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0.21</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2020永吉县城污水主管线及提升泵房改造工程</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P19220221-0046</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其他地下管线</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建设</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永吉县住房和城乡建设局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1.54</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永吉县永吉大桥新建工程</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P21220221-0012</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桥梁</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对外贸易经济合作</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永吉县永兴国有资产经营集团有限公司</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0.93</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2021永吉县2021年农村饮水安全改造提升工程</w:t>
            </w:r>
          </w:p>
        </w:tc>
        <w:tc>
          <w:tcPr>
            <w:tcW w:w="963"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P20220221-0061</w:t>
            </w:r>
          </w:p>
        </w:tc>
        <w:tc>
          <w:tcPr>
            <w:tcW w:w="6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饮水工程</w:t>
            </w:r>
          </w:p>
        </w:tc>
        <w:tc>
          <w:tcPr>
            <w:tcW w:w="57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水利</w:t>
            </w:r>
          </w:p>
        </w:tc>
        <w:tc>
          <w:tcPr>
            <w:tcW w:w="62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永吉县水利局</w:t>
            </w:r>
          </w:p>
        </w:tc>
        <w:tc>
          <w:tcPr>
            <w:tcW w:w="5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3.33</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trPr>
        <w:tc>
          <w:tcPr>
            <w:tcW w:w="851"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963"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576"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62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2"/>
                <w:szCs w:val="22"/>
                <w:u w:val="none"/>
              </w:rPr>
            </w:pPr>
          </w:p>
        </w:tc>
        <w:tc>
          <w:tcPr>
            <w:tcW w:w="463"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22"/>
                <w:szCs w:val="22"/>
                <w:u w:val="none"/>
              </w:rPr>
            </w:pP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永吉县2022年度小型水库除险加固和运行管护项目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P22220221-0003</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防汛抗旱水利提升工程</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水利</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永吉县水利局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1.08</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永吉经济开发区冰雪装备产业园建设项目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P20220221-0034</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产业园区基础设施</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开发区</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永吉经济开发区</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其他领域专项债券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0.70</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2020永吉县政务服务中心智能化建设项目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P20220221-0047</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其他</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人民政府</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永吉县政务服务中心</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1.62</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2020永吉县妇幼保健计划生育服务中心业务用房建设项目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P19220221-0053</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公共卫生设施</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卫生</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永吉县卫生局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1.30</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2020年永吉县老旧小区外配套基础设施建设项目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P20220221-0025</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城镇老旧小区改造</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建设</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永吉县住房和城乡建设局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1.30</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永吉县第三社会福利服务中心隔离点改造工程项目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P22220221-0007</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应急医疗体系</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民政</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永吉县民政局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1.08</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2021永吉县口前镇2020年基础设施水毁灾后重建工程</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P21220221-0001</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其他农林水利建设</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人民政府</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永吉县口前镇人民政府</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2.25</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永吉县口前镇2020年乡镇基础设施改造项目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P20220221-0042</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农村人居环境整治</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人民政府</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永吉县口前镇人民政府</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1.62</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2021永吉县2021年高标准农田建设项目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P21220221-0007</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高标准农田建设</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农业</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永吉县农业局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0.21</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2021-07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永吉县妇幼保健计划生育服务中心隔离点改造工程项目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P22220221-0005</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应急医疗体系</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卫生</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永吉县卫生局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1.08</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2022年永吉县城基础设施综合整治工程</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P21220221-0010</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其他市政建设</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建设</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永吉县住房和城乡建设局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0.46</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永吉县口前镇E片区（工业园区）已形成九条道路沥青路面建设工程</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XMWH2202210009760010020002170215182035</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道路</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开发区</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吉林市冠隆基础设施开发有限公司</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2.05</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2019-03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永吉县四间水库工程</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22022122D000000001158</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水利</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水利</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永吉县水利局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1.40</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2023-02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永吉县永吉大桥新建工程</w:t>
            </w:r>
          </w:p>
        </w:tc>
        <w:tc>
          <w:tcPr>
            <w:tcW w:w="963"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22022122D000000022122</w:t>
            </w:r>
          </w:p>
        </w:tc>
        <w:tc>
          <w:tcPr>
            <w:tcW w:w="6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桥梁</w:t>
            </w:r>
          </w:p>
        </w:tc>
        <w:tc>
          <w:tcPr>
            <w:tcW w:w="57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对外贸易经济合作</w:t>
            </w:r>
          </w:p>
        </w:tc>
        <w:tc>
          <w:tcPr>
            <w:tcW w:w="62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永吉县永兴国有资产经营集团有限公司</w:t>
            </w:r>
          </w:p>
        </w:tc>
        <w:tc>
          <w:tcPr>
            <w:tcW w:w="5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0.53</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2023-02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c>
          <w:tcPr>
            <w:tcW w:w="963"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c>
          <w:tcPr>
            <w:tcW w:w="57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c>
          <w:tcPr>
            <w:tcW w:w="62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c>
          <w:tcPr>
            <w:tcW w:w="463"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22"/>
                <w:szCs w:val="22"/>
                <w:u w:val="none"/>
              </w:rPr>
            </w:pP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2023-08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永吉县2022年水毁桥涵改建工程</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22022122D0000000017324</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桥梁</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对外贸易经济合作</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永吉县永兴国有资产经营集团有限公司</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0.08</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2023-02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永吉县城市防洪工程滨北路附属设施工程</w:t>
            </w:r>
          </w:p>
        </w:tc>
        <w:tc>
          <w:tcPr>
            <w:tcW w:w="963"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22022123D0000000025192</w:t>
            </w:r>
          </w:p>
        </w:tc>
        <w:tc>
          <w:tcPr>
            <w:tcW w:w="6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其他市政建设</w:t>
            </w:r>
          </w:p>
        </w:tc>
        <w:tc>
          <w:tcPr>
            <w:tcW w:w="57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对外贸易经济合作</w:t>
            </w:r>
          </w:p>
        </w:tc>
        <w:tc>
          <w:tcPr>
            <w:tcW w:w="62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永吉县永兴国有资产经营集团有限公司</w:t>
            </w:r>
          </w:p>
        </w:tc>
        <w:tc>
          <w:tcPr>
            <w:tcW w:w="5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0.70</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2023-07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c>
          <w:tcPr>
            <w:tcW w:w="963"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c>
          <w:tcPr>
            <w:tcW w:w="57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c>
          <w:tcPr>
            <w:tcW w:w="62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c>
          <w:tcPr>
            <w:tcW w:w="463"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22"/>
                <w:szCs w:val="22"/>
                <w:u w:val="none"/>
              </w:rPr>
            </w:pP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2023-09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永吉县口前镇口前至红峰 （四间水库段）农村公路改造项目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220221123D000000004579</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农村公路</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水利</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永吉县水利局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0.40</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2023-09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永吉县2023年小型水库除险加固和运行管护项目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22022122D0000000007770</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防汛抗旱水利提升工程</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水利</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永吉县水利局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0.07</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2023-08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2023年永吉县美丽乡村示范县农村基础设施建设工程</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22022123D0000000030783</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其他农村建设</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对外贸易经济合作</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永吉县永兴国有资产经营集团有限公司</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0.33</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2023-10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永吉县乡镇百村提升建设项目</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22022123D0000000004098</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其他农村建设</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对外贸易经济合作</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永吉县永兴国有资产经营集团有限公司</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一般债券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0.30</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2023-09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2" w:hRule="atLeast"/>
        </w:trPr>
        <w:tc>
          <w:tcPr>
            <w:tcW w:w="85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永吉县老旧小区改造提升和配套基础设施建设工程</w:t>
            </w:r>
          </w:p>
        </w:tc>
        <w:tc>
          <w:tcPr>
            <w:tcW w:w="9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22022122D0000000035800</w:t>
            </w:r>
          </w:p>
        </w:tc>
        <w:tc>
          <w:tcPr>
            <w:tcW w:w="6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城镇老旧小区改造</w:t>
            </w:r>
          </w:p>
        </w:tc>
        <w:tc>
          <w:tcPr>
            <w:tcW w:w="57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建设</w:t>
            </w:r>
          </w:p>
        </w:tc>
        <w:tc>
          <w:tcPr>
            <w:tcW w:w="6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永吉县住房和城乡建设局</w:t>
            </w:r>
          </w:p>
        </w:tc>
        <w:tc>
          <w:tcPr>
            <w:tcW w:w="5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专项债券</w:t>
            </w:r>
          </w:p>
        </w:tc>
        <w:tc>
          <w:tcPr>
            <w:tcW w:w="46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0.77</w:t>
            </w:r>
          </w:p>
        </w:tc>
        <w:tc>
          <w:tcPr>
            <w:tcW w:w="3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2023-10</w:t>
            </w:r>
          </w:p>
        </w:tc>
      </w:tr>
    </w:tbl>
    <w:p>
      <w:pPr>
        <w:pStyle w:val="4"/>
        <w:rPr>
          <w:rFonts w:hint="default"/>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docGrid w:type="lines" w:linePitch="319"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（三）政府债务偿还情况。</w:t>
      </w: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416"/>
        <w:gridCol w:w="1957"/>
        <w:gridCol w:w="21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2" w:hRule="atLeast"/>
        </w:trPr>
        <w:tc>
          <w:tcPr>
            <w:tcW w:w="5000" w:type="pct"/>
            <w:gridSpan w:val="3"/>
            <w:tcBorders>
              <w:top w:val="nil"/>
              <w:left w:val="nil"/>
              <w:bottom w:val="nil"/>
              <w:right w:val="nil"/>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30"/>
                <w:szCs w:val="30"/>
                <w:u w:val="none"/>
              </w:rPr>
            </w:pPr>
            <w:r>
              <w:rPr>
                <w:rFonts w:ascii="宋体" w:hAnsi="宋体" w:eastAsia="宋体" w:cs="宋体"/>
                <w:b/>
                <w:bCs/>
                <w:i w:val="0"/>
                <w:iCs w:val="0"/>
                <w:color w:val="000000"/>
                <w:kern w:val="0"/>
                <w:sz w:val="30"/>
                <w:szCs w:val="30"/>
                <w:u w:val="none"/>
                <w:bdr w:val="none" w:color="auto" w:sz="0" w:space="0"/>
                <w:lang w:val="en-US" w:eastAsia="zh-CN" w:bidi="ar"/>
              </w:rPr>
              <w:t>2023年地方政府债务发行及还本付息情况表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2593" w:type="pct"/>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1149" w:type="pct"/>
            <w:tcBorders>
              <w:top w:val="nil"/>
              <w:left w:val="nil"/>
              <w:bottom w:val="nil"/>
              <w:right w:val="nil"/>
            </w:tcBorders>
            <w:shd w:val="clear"/>
            <w:noWrap/>
            <w:vAlign w:val="center"/>
          </w:tcPr>
          <w:p>
            <w:pPr>
              <w:rPr>
                <w:rFonts w:hint="eastAsia" w:ascii="宋体" w:hAnsi="宋体" w:eastAsia="宋体" w:cs="宋体"/>
                <w:i w:val="0"/>
                <w:iCs w:val="0"/>
                <w:color w:val="000000"/>
                <w:sz w:val="22"/>
                <w:szCs w:val="22"/>
                <w:u w:val="none"/>
              </w:rPr>
            </w:pPr>
          </w:p>
        </w:tc>
        <w:tc>
          <w:tcPr>
            <w:tcW w:w="1257" w:type="pct"/>
            <w:tcBorders>
              <w:top w:val="nil"/>
              <w:left w:val="nil"/>
              <w:bottom w:val="nil"/>
              <w:right w:val="nil"/>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single" w:color="000000" w:sz="8" w:space="0"/>
              <w:left w:val="nil"/>
              <w:bottom w:val="single" w:color="000000" w:sz="8" w:space="0"/>
              <w:right w:val="nil"/>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项目</w:t>
            </w:r>
          </w:p>
        </w:tc>
        <w:tc>
          <w:tcPr>
            <w:tcW w:w="1149" w:type="pct"/>
            <w:tcBorders>
              <w:top w:val="single" w:color="000000" w:sz="8" w:space="0"/>
              <w:left w:val="single" w:color="000000" w:sz="4" w:space="0"/>
              <w:bottom w:val="single" w:color="000000" w:sz="8"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本地区</w:t>
            </w:r>
          </w:p>
        </w:tc>
        <w:tc>
          <w:tcPr>
            <w:tcW w:w="1257" w:type="pct"/>
            <w:tcBorders>
              <w:top w:val="single" w:color="000000" w:sz="8" w:space="0"/>
              <w:left w:val="nil"/>
              <w:bottom w:val="single" w:color="000000" w:sz="8" w:space="0"/>
              <w:right w:val="nil"/>
            </w:tcBorders>
            <w:shd w:val="clear"/>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bdr w:val="none" w:color="auto" w:sz="0" w:space="0"/>
                <w:lang w:val="en-US" w:eastAsia="zh-CN" w:bidi="ar"/>
              </w:rPr>
              <w:t>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一、2022年末地方政府债务余额</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58.73</w:t>
            </w:r>
          </w:p>
        </w:tc>
        <w:tc>
          <w:tcPr>
            <w:tcW w:w="1257"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58.73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nil"/>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其中：一般债务</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31.71</w:t>
            </w:r>
          </w:p>
        </w:tc>
        <w:tc>
          <w:tcPr>
            <w:tcW w:w="1257"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31.71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single" w:color="000000" w:sz="4" w:space="0"/>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专项债务</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27.02</w:t>
            </w:r>
          </w:p>
        </w:tc>
        <w:tc>
          <w:tcPr>
            <w:tcW w:w="1257"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27.02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二、2022年地方政府债务限额</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51.52</w:t>
            </w:r>
          </w:p>
        </w:tc>
        <w:tc>
          <w:tcPr>
            <w:tcW w:w="1257"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51.52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nil"/>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其中：一般债务</w:t>
            </w:r>
          </w:p>
        </w:tc>
        <w:tc>
          <w:tcPr>
            <w:tcW w:w="1149" w:type="pct"/>
            <w:tcBorders>
              <w:top w:val="nil"/>
              <w:left w:val="nil"/>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28.05</w:t>
            </w:r>
          </w:p>
        </w:tc>
        <w:tc>
          <w:tcPr>
            <w:tcW w:w="1257" w:type="pct"/>
            <w:tcBorders>
              <w:top w:val="nil"/>
              <w:left w:val="nil"/>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28.05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single" w:color="000000" w:sz="4" w:space="0"/>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专项债务</w:t>
            </w:r>
          </w:p>
        </w:tc>
        <w:tc>
          <w:tcPr>
            <w:tcW w:w="1149" w:type="pc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23.47</w:t>
            </w:r>
          </w:p>
        </w:tc>
        <w:tc>
          <w:tcPr>
            <w:tcW w:w="1257" w:type="pc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23.47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三、2023年地方政府债务发行决算数</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15.01</w:t>
            </w:r>
          </w:p>
        </w:tc>
        <w:tc>
          <w:tcPr>
            <w:tcW w:w="1257"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15.01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1" w:hRule="atLeast"/>
        </w:trPr>
        <w:tc>
          <w:tcPr>
            <w:tcW w:w="2593" w:type="pct"/>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新增一般债券发行额</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3.81</w:t>
            </w:r>
          </w:p>
        </w:tc>
        <w:tc>
          <w:tcPr>
            <w:tcW w:w="1257"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1" w:hRule="atLeast"/>
        </w:trPr>
        <w:tc>
          <w:tcPr>
            <w:tcW w:w="2593" w:type="pct"/>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再融资一般债券发行额</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4.96</w:t>
            </w:r>
          </w:p>
        </w:tc>
        <w:tc>
          <w:tcPr>
            <w:tcW w:w="1257"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4.96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1" w:hRule="atLeast"/>
        </w:trPr>
        <w:tc>
          <w:tcPr>
            <w:tcW w:w="2593" w:type="pct"/>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新增专项债券发行额</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6.24</w:t>
            </w:r>
          </w:p>
        </w:tc>
        <w:tc>
          <w:tcPr>
            <w:tcW w:w="1257"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6.24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1" w:hRule="atLeast"/>
        </w:trPr>
        <w:tc>
          <w:tcPr>
            <w:tcW w:w="2593" w:type="pct"/>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再融资专项债券发行额</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0.00</w:t>
            </w:r>
          </w:p>
        </w:tc>
        <w:tc>
          <w:tcPr>
            <w:tcW w:w="1257" w:type="pct"/>
            <w:tcBorders>
              <w:top w:val="nil"/>
              <w:left w:val="nil"/>
              <w:bottom w:val="nil"/>
              <w:right w:val="nil"/>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1" w:hRule="atLeast"/>
        </w:trPr>
        <w:tc>
          <w:tcPr>
            <w:tcW w:w="2593" w:type="pct"/>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置换一般债券发行额</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0.00</w:t>
            </w:r>
          </w:p>
        </w:tc>
        <w:tc>
          <w:tcPr>
            <w:tcW w:w="1257" w:type="pct"/>
            <w:tcBorders>
              <w:top w:val="nil"/>
              <w:left w:val="nil"/>
              <w:bottom w:val="nil"/>
              <w:right w:val="nil"/>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1" w:hRule="atLeast"/>
        </w:trPr>
        <w:tc>
          <w:tcPr>
            <w:tcW w:w="2593" w:type="pct"/>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置换专项债券发行额</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0.00</w:t>
            </w:r>
          </w:p>
        </w:tc>
        <w:tc>
          <w:tcPr>
            <w:tcW w:w="1257" w:type="pct"/>
            <w:tcBorders>
              <w:top w:val="nil"/>
              <w:left w:val="nil"/>
              <w:bottom w:val="nil"/>
              <w:right w:val="nil"/>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1" w:hRule="atLeast"/>
        </w:trPr>
        <w:tc>
          <w:tcPr>
            <w:tcW w:w="2593" w:type="pct"/>
            <w:tcBorders>
              <w:top w:val="nil"/>
              <w:left w:val="nil"/>
              <w:bottom w:val="single" w:color="000000" w:sz="4" w:space="0"/>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国际金融组织和外国政府贷款</w:t>
            </w:r>
          </w:p>
        </w:tc>
        <w:tc>
          <w:tcPr>
            <w:tcW w:w="1149" w:type="pc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0.00</w:t>
            </w:r>
          </w:p>
        </w:tc>
        <w:tc>
          <w:tcPr>
            <w:tcW w:w="1257" w:type="pct"/>
            <w:tcBorders>
              <w:top w:val="nil"/>
              <w:left w:val="nil"/>
              <w:bottom w:val="single" w:color="000000" w:sz="4" w:space="0"/>
              <w:right w:val="nil"/>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四、2023年地方政府债务还本决算数</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2.06</w:t>
            </w:r>
          </w:p>
        </w:tc>
        <w:tc>
          <w:tcPr>
            <w:tcW w:w="1257"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一般债务</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2.06</w:t>
            </w:r>
          </w:p>
        </w:tc>
        <w:tc>
          <w:tcPr>
            <w:tcW w:w="1257"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single" w:color="000000" w:sz="4" w:space="0"/>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专项债务</w:t>
            </w:r>
          </w:p>
        </w:tc>
        <w:tc>
          <w:tcPr>
            <w:tcW w:w="1149" w:type="pc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0.00</w:t>
            </w:r>
          </w:p>
        </w:tc>
        <w:tc>
          <w:tcPr>
            <w:tcW w:w="1257" w:type="pct"/>
            <w:tcBorders>
              <w:top w:val="nil"/>
              <w:left w:val="nil"/>
              <w:bottom w:val="single" w:color="000000" w:sz="4" w:space="0"/>
              <w:right w:val="nil"/>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五、2023年地方政府债务付息决算数</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1.60</w:t>
            </w:r>
          </w:p>
        </w:tc>
        <w:tc>
          <w:tcPr>
            <w:tcW w:w="1257"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一般债务</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0.86</w:t>
            </w:r>
          </w:p>
        </w:tc>
        <w:tc>
          <w:tcPr>
            <w:tcW w:w="1257"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single" w:color="000000" w:sz="4" w:space="0"/>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专项债务</w:t>
            </w:r>
          </w:p>
        </w:tc>
        <w:tc>
          <w:tcPr>
            <w:tcW w:w="1149" w:type="pc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0.74</w:t>
            </w:r>
          </w:p>
        </w:tc>
        <w:tc>
          <w:tcPr>
            <w:tcW w:w="1257" w:type="pc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0.74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六、2023年末地方政府债务余额决算数</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58.73</w:t>
            </w:r>
          </w:p>
        </w:tc>
        <w:tc>
          <w:tcPr>
            <w:tcW w:w="1257"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58.73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其中：一般债务</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31.71</w:t>
            </w:r>
          </w:p>
        </w:tc>
        <w:tc>
          <w:tcPr>
            <w:tcW w:w="1257"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31.71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single" w:color="000000" w:sz="4" w:space="0"/>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专项债务</w:t>
            </w:r>
          </w:p>
        </w:tc>
        <w:tc>
          <w:tcPr>
            <w:tcW w:w="1149" w:type="pc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27.02</w:t>
            </w:r>
          </w:p>
        </w:tc>
        <w:tc>
          <w:tcPr>
            <w:tcW w:w="1257" w:type="pc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27.02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七、2023年地方政府债务限额</w:t>
            </w:r>
          </w:p>
        </w:tc>
        <w:tc>
          <w:tcPr>
            <w:tcW w:w="1149"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59.01</w:t>
            </w:r>
          </w:p>
        </w:tc>
        <w:tc>
          <w:tcPr>
            <w:tcW w:w="1257" w:type="pct"/>
            <w:tcBorders>
              <w:top w:val="nil"/>
              <w:left w:val="single" w:color="000000" w:sz="4" w:space="0"/>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59.01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nil"/>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其中：一般债务</w:t>
            </w:r>
          </w:p>
        </w:tc>
        <w:tc>
          <w:tcPr>
            <w:tcW w:w="1149" w:type="pct"/>
            <w:tcBorders>
              <w:top w:val="nil"/>
              <w:left w:val="nil"/>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31.99</w:t>
            </w:r>
          </w:p>
        </w:tc>
        <w:tc>
          <w:tcPr>
            <w:tcW w:w="1257" w:type="pct"/>
            <w:tcBorders>
              <w:top w:val="nil"/>
              <w:left w:val="nil"/>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31.99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593" w:type="pct"/>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 xml:space="preserve">     专项债务</w:t>
            </w:r>
          </w:p>
        </w:tc>
        <w:tc>
          <w:tcPr>
            <w:tcW w:w="1149" w:type="pct"/>
            <w:tcBorders>
              <w:top w:val="nil"/>
              <w:left w:val="nil"/>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27.02</w:t>
            </w:r>
          </w:p>
        </w:tc>
        <w:tc>
          <w:tcPr>
            <w:tcW w:w="1257" w:type="pct"/>
            <w:tcBorders>
              <w:top w:val="nil"/>
              <w:left w:val="nil"/>
              <w:bottom w:val="nil"/>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bdr w:val="none" w:color="auto" w:sz="0" w:space="0"/>
                <w:lang w:val="en-US" w:eastAsia="zh-CN" w:bidi="ar"/>
              </w:rPr>
              <w:t>27.02</w:t>
            </w:r>
          </w:p>
        </w:tc>
      </w:tr>
    </w:tbl>
    <w:p>
      <w:pPr>
        <w:pStyle w:val="2"/>
        <w:jc w:val="both"/>
        <w:rPr>
          <w:rFonts w:hint="default"/>
        </w:rPr>
      </w:pPr>
    </w:p>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sectPr>
          <w:pgSz w:w="11906" w:h="16838"/>
          <w:pgMar w:top="1440" w:right="1803" w:bottom="1440" w:left="1803" w:header="851" w:footer="992" w:gutter="0"/>
          <w:pgBorders>
            <w:top w:val="none" w:sz="0" w:space="0"/>
            <w:left w:val="none" w:sz="0" w:space="0"/>
            <w:bottom w:val="none" w:sz="0" w:space="0"/>
            <w:right w:val="none" w:sz="0" w:space="0"/>
          </w:pgBorders>
          <w:pgNumType w:fmt="numberInDash"/>
          <w:cols w:space="0" w:num="1"/>
          <w:docGrid w:type="lines" w:linePitch="319" w:charSpace="0"/>
        </w:sectPr>
      </w:pPr>
    </w:p>
    <w:p>
      <w:pPr>
        <w:spacing w:line="600" w:lineRule="exact"/>
        <w:jc w:val="center"/>
        <w:rPr>
          <w:rFonts w:hint="eastAsia" w:ascii="宋体" w:hAnsi="宋体" w:eastAsia="宋体" w:cs="宋体"/>
          <w:b/>
          <w:bCs/>
          <w:sz w:val="44"/>
          <w:szCs w:val="44"/>
          <w:lang w:eastAsia="en-US"/>
        </w:rPr>
      </w:pPr>
      <w:bookmarkStart w:id="95" w:name="_Toc19863"/>
      <w:bookmarkStart w:id="96" w:name="_Toc15198"/>
      <w:r>
        <w:rPr>
          <w:rFonts w:hint="eastAsia" w:ascii="宋体" w:hAnsi="宋体" w:eastAsia="宋体" w:cs="宋体"/>
          <w:b/>
          <w:bCs/>
          <w:sz w:val="44"/>
          <w:szCs w:val="44"/>
          <w:lang w:eastAsia="en-US"/>
        </w:rPr>
        <w:t>预算绩效工作开展情况说明</w:t>
      </w:r>
      <w:bookmarkEnd w:id="95"/>
      <w:bookmarkEnd w:id="96"/>
    </w:p>
    <w:p>
      <w:pPr>
        <w:pStyle w:val="2"/>
      </w:pPr>
    </w:p>
    <w:p>
      <w:pPr>
        <w:widowControl w:val="0"/>
        <w:adjustRightInd w:val="0"/>
        <w:snapToGrid w:val="0"/>
        <w:spacing w:after="0" w:line="576" w:lineRule="exact"/>
        <w:ind w:firstLine="640" w:firstLineChars="200"/>
        <w:jc w:val="both"/>
        <w:rPr>
          <w:rFonts w:hint="eastAsia"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rPr>
        <w:t>一、绩效管理制度建设</w:t>
      </w:r>
    </w:p>
    <w:p>
      <w:pPr>
        <w:widowControl w:val="0"/>
        <w:adjustRightInd w:val="0"/>
        <w:snapToGrid w:val="0"/>
        <w:spacing w:after="0" w:line="576" w:lineRule="exact"/>
        <w:ind w:firstLine="640" w:firstLineChars="200"/>
        <w:jc w:val="both"/>
        <w:rPr>
          <w:rFonts w:hint="eastAsia"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rPr>
        <w:t>经过积极深入探索，再结合我县实际情况，制定了《永吉县2023年预算绩效管理实施方案》,于2023年1月10日召开党组会研究并成立了《永吉县财政局预算绩效管理工作小组》并出台了《关于印发永吉县2023年预算绩效管理实施方案》，暂定了我县2023年预算绩效管理工作中具体工作时间节点的具体工作内容，为预算绩效管理工作提供了制度保障、方案支持和工作指南，力求实现绩效评价管理工作每一个程序、每一个环节、每一个要素的科学化、合理化、规范化、高效化。</w:t>
      </w:r>
    </w:p>
    <w:p>
      <w:pPr>
        <w:widowControl w:val="0"/>
        <w:adjustRightInd w:val="0"/>
        <w:snapToGrid w:val="0"/>
        <w:spacing w:after="0" w:line="576" w:lineRule="exact"/>
        <w:ind w:firstLine="640" w:firstLineChars="200"/>
        <w:jc w:val="both"/>
        <w:rPr>
          <w:rFonts w:hint="eastAsia"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rPr>
        <w:t xml:space="preserve"> 二、提高业务人员素质</w:t>
      </w:r>
    </w:p>
    <w:p>
      <w:pPr>
        <w:widowControl w:val="0"/>
        <w:adjustRightInd w:val="0"/>
        <w:snapToGrid w:val="0"/>
        <w:spacing w:after="0" w:line="576" w:lineRule="exact"/>
        <w:ind w:firstLine="640" w:firstLineChars="200"/>
        <w:jc w:val="both"/>
        <w:rPr>
          <w:rFonts w:hint="default"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rPr>
        <w:t>在2023年绩效管理工作中，我县绩效工作管理人员主动与上级沟通，精进业务能力；积极与周边市县探讨，优化工作方法。于9月参加省财政厅组织的预算绩效工作培训，省财政厅绩效处人员通过阐释预算绩效工作理论，列举优秀市县的工作方法，优秀工作人员讲解心得体会的形式多维度增强我县绩效管理人员的业务水平。</w:t>
      </w:r>
    </w:p>
    <w:p>
      <w:pPr>
        <w:widowControl w:val="0"/>
        <w:adjustRightInd w:val="0"/>
        <w:snapToGrid w:val="0"/>
        <w:spacing w:after="0" w:line="576" w:lineRule="exact"/>
        <w:ind w:firstLine="640" w:firstLineChars="200"/>
        <w:jc w:val="both"/>
        <w:rPr>
          <w:rFonts w:hint="default"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rPr>
        <w:t>在2024年11月，我县召开预算项目绩效目标培训会议。会上结合在省厅培训相关内容，再结合本县实际情况，为全县会计人员系统讲解绩效工作各模块中的含义内容与填报方式。有效提升我县各预算单位的业务人员素质。为进一步开展预算绩效管理工作奠定基础。</w:t>
      </w:r>
    </w:p>
    <w:p>
      <w:pPr>
        <w:widowControl w:val="0"/>
        <w:adjustRightInd w:val="0"/>
        <w:snapToGrid w:val="0"/>
        <w:spacing w:after="0" w:line="576" w:lineRule="exact"/>
        <w:ind w:firstLine="640" w:firstLineChars="200"/>
        <w:jc w:val="both"/>
        <w:rPr>
          <w:rFonts w:hint="default"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rPr>
        <w:t>三、推进预算绩效管理工作</w:t>
      </w:r>
    </w:p>
    <w:p>
      <w:pPr>
        <w:widowControl w:val="0"/>
        <w:adjustRightInd w:val="0"/>
        <w:snapToGrid w:val="0"/>
        <w:spacing w:after="0" w:line="576" w:lineRule="exact"/>
        <w:ind w:firstLine="640" w:firstLineChars="200"/>
        <w:jc w:val="both"/>
        <w:rPr>
          <w:rFonts w:hint="default"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rPr>
        <w:t>按照《永吉县2023年预算绩效管理实施方案的通知》要求，对全县60各部门开展了全流程的预算绩效管理工作。全流程的预算绩效管理工作包括项目的绩效目标申报，到绩效监控，再到绩效自评终了。在2023年中，部门整体支出预算绩效目标自评共计60个，一级项目预算绩效目标自评共计160个，二级项目预算绩效自评共计291个，项目涉及金额共计4.150918亿元。</w:t>
      </w:r>
    </w:p>
    <w:p>
      <w:pPr>
        <w:widowControl w:val="0"/>
        <w:adjustRightInd w:val="0"/>
        <w:snapToGrid w:val="0"/>
        <w:spacing w:after="0" w:line="576" w:lineRule="exact"/>
        <w:ind w:firstLine="640" w:firstLineChars="200"/>
        <w:jc w:val="both"/>
        <w:rPr>
          <w:rFonts w:hint="eastAsia"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lang w:val="en-US" w:eastAsia="zh-CN"/>
        </w:rPr>
        <w:tab/>
      </w:r>
      <w:r>
        <w:rPr>
          <w:rFonts w:hint="eastAsia" w:ascii="Times New Roman" w:hAnsi="Times New Roman" w:eastAsia="仿宋_GB2312" w:cs="Times New Roman"/>
          <w:bCs/>
          <w:kern w:val="2"/>
          <w:sz w:val="32"/>
          <w:szCs w:val="32"/>
        </w:rPr>
        <w:t>为进一步加强资金绩效管理，切实提高质量、巩固脱贫攻坚成果，使衔接资金发挥最大效益。根据《衔接推进乡村振兴补助资金绩效评价及考核办法》（财农〔2021〕122号）《关于做好衔接及整合项目资金绩效管理工作的通知》（吉财农〔2021〕1164号）和《关于印发&lt;衔接推进乡村振兴补助资金暨整合资金绩效评价自查核查工作指南&gt;的通知》要求，结合我县衔接资金项目实际情况，县乡村振兴局会同县财政局对永吉县202</w:t>
      </w:r>
      <w:r>
        <w:rPr>
          <w:rFonts w:hint="eastAsia" w:ascii="Times New Roman" w:hAnsi="Times New Roman" w:eastAsia="仿宋_GB2312" w:cs="Times New Roman"/>
          <w:bCs/>
          <w:kern w:val="2"/>
          <w:sz w:val="32"/>
          <w:szCs w:val="32"/>
          <w:lang w:val="en-US" w:eastAsia="zh-CN"/>
        </w:rPr>
        <w:t>3</w:t>
      </w:r>
      <w:r>
        <w:rPr>
          <w:rFonts w:hint="eastAsia" w:ascii="Times New Roman" w:hAnsi="Times New Roman" w:eastAsia="仿宋_GB2312" w:cs="Times New Roman"/>
          <w:bCs/>
          <w:kern w:val="2"/>
          <w:sz w:val="32"/>
          <w:szCs w:val="32"/>
        </w:rPr>
        <w:t>年重点项目开展绩效评价工作，由县乡村振兴局会同县财政局组成绩效评价小组开展评价工作，通过审阅各项目实施单位提供的文件资料及财务收支凭证，踏查项目现场，座谈了解项目具体运行及收支情况，入户调查满意度等方式进行。</w:t>
      </w:r>
    </w:p>
    <w:p>
      <w:pPr>
        <w:widowControl w:val="0"/>
        <w:adjustRightInd w:val="0"/>
        <w:snapToGrid w:val="0"/>
        <w:spacing w:after="0" w:line="576" w:lineRule="exact"/>
        <w:ind w:firstLine="640" w:firstLineChars="200"/>
        <w:jc w:val="both"/>
        <w:rPr>
          <w:rFonts w:hint="eastAsia"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rPr>
        <w:t>检查的项目为舒兰光伏发电项目；吉林卓远农业有限公司工厂化高密度循环温泉水养殖改扩建项目；森源度假酒店项目；小额信贷贴息项目；万昌镇施家村与永吉县金源粮食收储有限公司合作项目；万昌镇花家村、玉华村基础设施建设工程；一拉溪镇陡咀子村道路建设工程；吉林市永吉县黄榆乡基础设施建设工程。</w:t>
      </w:r>
    </w:p>
    <w:p>
      <w:pPr>
        <w:widowControl w:val="0"/>
        <w:adjustRightInd w:val="0"/>
        <w:snapToGrid w:val="0"/>
        <w:spacing w:after="0" w:line="576" w:lineRule="exact"/>
        <w:ind w:firstLine="640" w:firstLineChars="200"/>
        <w:jc w:val="both"/>
        <w:rPr>
          <w:rFonts w:hint="eastAsia"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rPr>
        <w:t>1.舒兰市光伏发电项目。投入衔接资金1000万元，该项目总装机容量为80兆瓦，我县与舒兰市合作，关联我县建档立卡</w:t>
      </w:r>
      <w:r>
        <w:rPr>
          <w:rFonts w:hint="eastAsia" w:ascii="Times New Roman" w:hAnsi="Times New Roman" w:eastAsia="仿宋_GB2312" w:cs="Times New Roman"/>
          <w:bCs/>
          <w:kern w:val="2"/>
          <w:sz w:val="32"/>
          <w:szCs w:val="32"/>
          <w:lang w:val="en-US" w:eastAsia="zh-CN"/>
        </w:rPr>
        <w:t>脱贫</w:t>
      </w:r>
      <w:r>
        <w:rPr>
          <w:rFonts w:hint="eastAsia" w:ascii="Times New Roman" w:hAnsi="Times New Roman" w:eastAsia="仿宋_GB2312" w:cs="Times New Roman"/>
          <w:bCs/>
          <w:kern w:val="2"/>
          <w:sz w:val="32"/>
          <w:szCs w:val="32"/>
        </w:rPr>
        <w:t>户，分五年投入资金5000万元，每年投入1000万元，用于光伏扶贫电站的运营管理，合作期限为十八年，每年合作对象以支付关联贫困户扶贫收益的方式，向我县支付投资收益，第一年支付已投资金额的20%收益，第二年支付已投资金额的15%收益，第三年至第十八年每年支付总投入资金的10%收益。2018年、2019年、2020年、2021年、2022年我县每年投入资金1000万元。普惠新能源公司以机器设备作为抵押保障资金安全。项目收益将用于全县脱贫户分红。该项目能够按时实现预期收益，本金安全有保障，带动</w:t>
      </w:r>
      <w:r>
        <w:rPr>
          <w:rFonts w:hint="eastAsia" w:ascii="Times New Roman" w:hAnsi="Times New Roman" w:eastAsia="仿宋_GB2312" w:cs="Times New Roman"/>
          <w:bCs/>
          <w:kern w:val="2"/>
          <w:sz w:val="32"/>
          <w:szCs w:val="32"/>
          <w:lang w:val="en-US" w:eastAsia="zh-CN"/>
        </w:rPr>
        <w:t>脱贫户</w:t>
      </w:r>
      <w:r>
        <w:rPr>
          <w:rFonts w:hint="eastAsia" w:ascii="Times New Roman" w:hAnsi="Times New Roman" w:eastAsia="仿宋_GB2312" w:cs="Times New Roman"/>
          <w:bCs/>
          <w:kern w:val="2"/>
          <w:sz w:val="32"/>
          <w:szCs w:val="32"/>
        </w:rPr>
        <w:t>覆盖面广，群众满意度100%。</w:t>
      </w:r>
    </w:p>
    <w:p>
      <w:pPr>
        <w:widowControl w:val="0"/>
        <w:adjustRightInd w:val="0"/>
        <w:snapToGrid w:val="0"/>
        <w:spacing w:after="0" w:line="576" w:lineRule="exact"/>
        <w:ind w:firstLine="640" w:firstLineChars="200"/>
        <w:jc w:val="both"/>
        <w:rPr>
          <w:rFonts w:hint="eastAsia"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rPr>
        <w:t>2.吉林卓远农业有限公司工厂化高密度循环温泉水养殖改扩建项目。投入衔接资金</w:t>
      </w:r>
      <w:r>
        <w:rPr>
          <w:rFonts w:hint="eastAsia" w:ascii="Times New Roman" w:hAnsi="Times New Roman" w:eastAsia="仿宋_GB2312" w:cs="Times New Roman"/>
          <w:bCs/>
          <w:kern w:val="2"/>
          <w:sz w:val="32"/>
          <w:szCs w:val="32"/>
          <w:lang w:val="en-US" w:eastAsia="zh-CN"/>
        </w:rPr>
        <w:t>700</w:t>
      </w:r>
      <w:r>
        <w:rPr>
          <w:rFonts w:hint="eastAsia" w:ascii="Times New Roman" w:hAnsi="Times New Roman" w:eastAsia="仿宋_GB2312" w:cs="Times New Roman"/>
          <w:bCs/>
          <w:kern w:val="2"/>
          <w:sz w:val="32"/>
          <w:szCs w:val="32"/>
        </w:rPr>
        <w:t>万元，合作采取保底收益的方式，一拉溪镇人民政府不直接参与项目的建设、经营和管理。项目占地面积4000平方米，包括土建、30个高标准现代化养殖池、30个配套罐桶、10个微滤机、10个紫外杀菌器、10个MBBR生物滤器、8个风机、8个控制机柜、10个水泵、滤罐设备。项目收益将用于</w:t>
      </w:r>
      <w:r>
        <w:rPr>
          <w:rFonts w:hint="eastAsia" w:ascii="Times New Roman" w:hAnsi="Times New Roman" w:eastAsia="仿宋_GB2312" w:cs="Times New Roman"/>
          <w:bCs/>
          <w:kern w:val="2"/>
          <w:sz w:val="32"/>
          <w:szCs w:val="32"/>
          <w:lang w:val="en-US" w:eastAsia="zh-CN"/>
        </w:rPr>
        <w:t>一拉溪</w:t>
      </w:r>
      <w:r>
        <w:rPr>
          <w:rFonts w:hint="eastAsia" w:ascii="Times New Roman" w:hAnsi="Times New Roman" w:eastAsia="仿宋_GB2312" w:cs="Times New Roman"/>
          <w:bCs/>
          <w:kern w:val="2"/>
          <w:sz w:val="32"/>
          <w:szCs w:val="32"/>
        </w:rPr>
        <w:t>全</w:t>
      </w:r>
      <w:r>
        <w:rPr>
          <w:rFonts w:hint="eastAsia" w:ascii="Times New Roman" w:hAnsi="Times New Roman" w:eastAsia="仿宋_GB2312" w:cs="Times New Roman"/>
          <w:bCs/>
          <w:kern w:val="2"/>
          <w:sz w:val="32"/>
          <w:szCs w:val="32"/>
          <w:lang w:val="en-US" w:eastAsia="zh-CN"/>
        </w:rPr>
        <w:t>镇</w:t>
      </w:r>
      <w:r>
        <w:rPr>
          <w:rFonts w:hint="eastAsia" w:ascii="Times New Roman" w:hAnsi="Times New Roman" w:eastAsia="仿宋_GB2312" w:cs="Times New Roman"/>
          <w:bCs/>
          <w:kern w:val="2"/>
          <w:sz w:val="32"/>
          <w:szCs w:val="32"/>
        </w:rPr>
        <w:t>脱贫户分红。该项目能够按时实现预期收益，本金安全有保障，带动</w:t>
      </w:r>
      <w:r>
        <w:rPr>
          <w:rFonts w:hint="eastAsia" w:ascii="Times New Roman" w:hAnsi="Times New Roman" w:eastAsia="仿宋_GB2312" w:cs="Times New Roman"/>
          <w:bCs/>
          <w:kern w:val="2"/>
          <w:sz w:val="32"/>
          <w:szCs w:val="32"/>
          <w:lang w:val="en-US" w:eastAsia="zh-CN"/>
        </w:rPr>
        <w:t>脱贫户</w:t>
      </w:r>
      <w:r>
        <w:rPr>
          <w:rFonts w:hint="eastAsia" w:ascii="Times New Roman" w:hAnsi="Times New Roman" w:eastAsia="仿宋_GB2312" w:cs="Times New Roman"/>
          <w:bCs/>
          <w:kern w:val="2"/>
          <w:sz w:val="32"/>
          <w:szCs w:val="32"/>
        </w:rPr>
        <w:t>覆盖面广，群众满意度100%。</w:t>
      </w:r>
    </w:p>
    <w:p>
      <w:pPr>
        <w:widowControl w:val="0"/>
        <w:adjustRightInd w:val="0"/>
        <w:snapToGrid w:val="0"/>
        <w:spacing w:after="0" w:line="576" w:lineRule="exact"/>
        <w:ind w:firstLine="640" w:firstLineChars="200"/>
        <w:jc w:val="both"/>
        <w:rPr>
          <w:rFonts w:hint="eastAsia"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rPr>
        <w:t>3.森源度假酒店项目。投入衔接资金100万元，合作采取保底收益的方式，五里河村不直接参与项目的建设、经营和管理。投入资金主要用于酒店的升级改造和日常运营。</w:t>
      </w:r>
      <w:r>
        <w:rPr>
          <w:rFonts w:hint="eastAsia" w:ascii="Times New Roman" w:hAnsi="Times New Roman" w:eastAsia="仿宋_GB2312" w:cs="Times New Roman"/>
          <w:bCs/>
          <w:kern w:val="2"/>
          <w:sz w:val="32"/>
          <w:szCs w:val="32"/>
          <w:lang w:val="en-US" w:eastAsia="zh-CN"/>
        </w:rPr>
        <w:t>森源度假酒店以酒店房屋作为抵押物，项目收益稳定，本金安全有保障，收益率较高，</w:t>
      </w:r>
      <w:r>
        <w:rPr>
          <w:rFonts w:hint="eastAsia" w:ascii="Times New Roman" w:hAnsi="Times New Roman" w:eastAsia="仿宋_GB2312" w:cs="Times New Roman"/>
          <w:bCs/>
          <w:kern w:val="2"/>
          <w:sz w:val="32"/>
          <w:szCs w:val="32"/>
        </w:rPr>
        <w:t>群众满意度100%。</w:t>
      </w:r>
    </w:p>
    <w:p>
      <w:pPr>
        <w:widowControl w:val="0"/>
        <w:adjustRightInd w:val="0"/>
        <w:snapToGrid w:val="0"/>
        <w:spacing w:after="0" w:line="576" w:lineRule="exact"/>
        <w:ind w:firstLine="640" w:firstLineChars="200"/>
        <w:jc w:val="both"/>
        <w:rPr>
          <w:rFonts w:hint="eastAsia"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rPr>
        <w:t>4.小额信贷贴息项目。投入衔接资金</w:t>
      </w:r>
      <w:r>
        <w:rPr>
          <w:rFonts w:hint="eastAsia" w:ascii="Times New Roman" w:hAnsi="Times New Roman" w:eastAsia="仿宋_GB2312" w:cs="Times New Roman"/>
          <w:bCs/>
          <w:kern w:val="2"/>
          <w:sz w:val="32"/>
          <w:szCs w:val="32"/>
          <w:lang w:val="en-US" w:eastAsia="zh-CN"/>
        </w:rPr>
        <w:t>16.554466</w:t>
      </w:r>
      <w:r>
        <w:rPr>
          <w:rFonts w:hint="eastAsia" w:ascii="Times New Roman" w:hAnsi="Times New Roman" w:eastAsia="仿宋_GB2312" w:cs="Times New Roman"/>
          <w:bCs/>
          <w:kern w:val="2"/>
          <w:sz w:val="32"/>
          <w:szCs w:val="32"/>
        </w:rPr>
        <w:t>万元，为享受小额信贷政策脱贫户和监测户贷款贴息，解决群众发展产业资金缺口</w:t>
      </w:r>
      <w:r>
        <w:rPr>
          <w:rFonts w:hint="eastAsia" w:ascii="Times New Roman" w:hAnsi="Times New Roman" w:eastAsia="仿宋_GB2312" w:cs="Times New Roman"/>
          <w:bCs/>
          <w:kern w:val="2"/>
          <w:sz w:val="32"/>
          <w:szCs w:val="32"/>
          <w:lang w:eastAsia="zh-CN"/>
        </w:rPr>
        <w:t>，</w:t>
      </w:r>
      <w:r>
        <w:rPr>
          <w:rFonts w:hint="eastAsia" w:ascii="Times New Roman" w:hAnsi="Times New Roman" w:eastAsia="仿宋_GB2312" w:cs="Times New Roman"/>
          <w:bCs/>
          <w:kern w:val="2"/>
          <w:sz w:val="32"/>
          <w:szCs w:val="32"/>
        </w:rPr>
        <w:t>群众满意度100%。</w:t>
      </w:r>
    </w:p>
    <w:p>
      <w:pPr>
        <w:widowControl w:val="0"/>
        <w:adjustRightInd w:val="0"/>
        <w:snapToGrid w:val="0"/>
        <w:spacing w:after="0" w:line="576" w:lineRule="exact"/>
        <w:ind w:firstLine="640" w:firstLineChars="200"/>
        <w:jc w:val="both"/>
        <w:rPr>
          <w:rFonts w:hint="eastAsia"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rPr>
        <w:t>5.万昌镇施家村与永吉县东顺粮食收储有限公司合作项目。</w:t>
      </w:r>
      <w:r>
        <w:rPr>
          <w:rFonts w:hint="eastAsia" w:ascii="Times New Roman" w:hAnsi="Times New Roman" w:eastAsia="仿宋_GB2312" w:cs="Times New Roman"/>
          <w:bCs/>
          <w:kern w:val="2"/>
          <w:sz w:val="32"/>
          <w:szCs w:val="32"/>
          <w:lang w:val="en-US" w:eastAsia="zh-CN"/>
        </w:rPr>
        <w:t>总投资80.1万元，其中</w:t>
      </w:r>
      <w:r>
        <w:rPr>
          <w:rFonts w:hint="eastAsia" w:ascii="Times New Roman" w:hAnsi="Times New Roman" w:eastAsia="仿宋_GB2312" w:cs="Times New Roman"/>
          <w:bCs/>
          <w:kern w:val="2"/>
          <w:sz w:val="32"/>
          <w:szCs w:val="32"/>
        </w:rPr>
        <w:t>衔接资金</w:t>
      </w:r>
      <w:r>
        <w:rPr>
          <w:rFonts w:hint="eastAsia" w:ascii="Times New Roman" w:hAnsi="Times New Roman" w:eastAsia="仿宋_GB2312" w:cs="Times New Roman"/>
          <w:bCs/>
          <w:kern w:val="2"/>
          <w:sz w:val="32"/>
          <w:szCs w:val="32"/>
          <w:lang w:val="en-US" w:eastAsia="zh-CN"/>
        </w:rPr>
        <w:t>50</w:t>
      </w:r>
      <w:r>
        <w:rPr>
          <w:rFonts w:hint="eastAsia" w:ascii="Times New Roman" w:hAnsi="Times New Roman" w:eastAsia="仿宋_GB2312" w:cs="Times New Roman"/>
          <w:bCs/>
          <w:kern w:val="2"/>
          <w:sz w:val="32"/>
          <w:szCs w:val="32"/>
        </w:rPr>
        <w:t>万元</w:t>
      </w:r>
      <w:r>
        <w:rPr>
          <w:rFonts w:hint="eastAsia" w:ascii="Times New Roman" w:hAnsi="Times New Roman" w:eastAsia="仿宋_GB2312" w:cs="Times New Roman"/>
          <w:bCs/>
          <w:kern w:val="2"/>
          <w:sz w:val="32"/>
          <w:szCs w:val="32"/>
          <w:lang w:eastAsia="zh-CN"/>
        </w:rPr>
        <w:t>。</w:t>
      </w:r>
      <w:r>
        <w:rPr>
          <w:rFonts w:hint="eastAsia" w:ascii="Times New Roman" w:hAnsi="Times New Roman" w:eastAsia="仿宋_GB2312" w:cs="Times New Roman"/>
          <w:bCs/>
          <w:kern w:val="2"/>
          <w:sz w:val="32"/>
          <w:szCs w:val="32"/>
          <w:lang w:val="en-US" w:eastAsia="zh-CN"/>
        </w:rPr>
        <w:t>资金</w:t>
      </w:r>
      <w:r>
        <w:rPr>
          <w:rFonts w:hint="eastAsia" w:ascii="Times New Roman" w:hAnsi="Times New Roman" w:eastAsia="仿宋_GB2312" w:cs="Times New Roman"/>
          <w:bCs/>
          <w:kern w:val="2"/>
          <w:sz w:val="32"/>
          <w:szCs w:val="32"/>
        </w:rPr>
        <w:t>投</w:t>
      </w:r>
      <w:r>
        <w:rPr>
          <w:rFonts w:hint="eastAsia" w:ascii="Times New Roman" w:hAnsi="Times New Roman" w:eastAsia="仿宋_GB2312" w:cs="Times New Roman"/>
          <w:bCs/>
          <w:kern w:val="2"/>
          <w:sz w:val="32"/>
          <w:szCs w:val="32"/>
          <w:lang w:val="en-US" w:eastAsia="zh-CN"/>
        </w:rPr>
        <w:t>入</w:t>
      </w:r>
      <w:r>
        <w:rPr>
          <w:rFonts w:hint="eastAsia" w:ascii="Times New Roman" w:hAnsi="Times New Roman" w:eastAsia="仿宋_GB2312" w:cs="Times New Roman"/>
          <w:bCs/>
          <w:kern w:val="2"/>
          <w:sz w:val="32"/>
          <w:szCs w:val="32"/>
        </w:rPr>
        <w:t>吉林省东顺粮食贸易有限公司进行粮食收购，烘干等，每年固定收益6.5万元。</w:t>
      </w:r>
      <w:r>
        <w:rPr>
          <w:rFonts w:hint="eastAsia" w:ascii="Times New Roman" w:hAnsi="Times New Roman" w:eastAsia="仿宋_GB2312" w:cs="Times New Roman"/>
          <w:bCs/>
          <w:kern w:val="2"/>
          <w:sz w:val="32"/>
          <w:szCs w:val="32"/>
          <w:lang w:val="en-US" w:eastAsia="zh-CN"/>
        </w:rPr>
        <w:t>企业投入房屋作为抵押物，</w:t>
      </w:r>
      <w:r>
        <w:rPr>
          <w:rFonts w:hint="eastAsia" w:ascii="Times New Roman" w:hAnsi="Times New Roman" w:eastAsia="仿宋_GB2312" w:cs="Times New Roman"/>
          <w:bCs/>
          <w:kern w:val="2"/>
          <w:sz w:val="32"/>
          <w:szCs w:val="32"/>
        </w:rPr>
        <w:t>本金安全有保障，</w:t>
      </w:r>
      <w:r>
        <w:rPr>
          <w:rFonts w:hint="eastAsia" w:ascii="Times New Roman" w:hAnsi="Times New Roman" w:eastAsia="仿宋_GB2312" w:cs="Times New Roman"/>
          <w:bCs/>
          <w:kern w:val="2"/>
          <w:sz w:val="32"/>
          <w:szCs w:val="32"/>
          <w:lang w:val="en-US" w:eastAsia="zh-CN"/>
        </w:rPr>
        <w:t>项目收益较高。能够</w:t>
      </w:r>
      <w:r>
        <w:rPr>
          <w:rFonts w:hint="eastAsia" w:ascii="Times New Roman" w:hAnsi="Times New Roman" w:eastAsia="仿宋_GB2312" w:cs="Times New Roman"/>
          <w:bCs/>
          <w:kern w:val="2"/>
          <w:sz w:val="32"/>
          <w:szCs w:val="32"/>
        </w:rPr>
        <w:t>带动脱贫人口增收致富，带动</w:t>
      </w:r>
      <w:r>
        <w:rPr>
          <w:rFonts w:hint="eastAsia" w:ascii="Times New Roman" w:hAnsi="Times New Roman" w:eastAsia="仿宋_GB2312" w:cs="Times New Roman"/>
          <w:bCs/>
          <w:kern w:val="2"/>
          <w:sz w:val="32"/>
          <w:szCs w:val="32"/>
          <w:lang w:val="en-US" w:eastAsia="zh-CN"/>
        </w:rPr>
        <w:t>脱贫</w:t>
      </w:r>
      <w:r>
        <w:rPr>
          <w:rFonts w:hint="eastAsia" w:ascii="Times New Roman" w:hAnsi="Times New Roman" w:eastAsia="仿宋_GB2312" w:cs="Times New Roman"/>
          <w:bCs/>
          <w:kern w:val="2"/>
          <w:sz w:val="32"/>
          <w:szCs w:val="32"/>
        </w:rPr>
        <w:t>户覆盖面广，收益群众满意度100%。</w:t>
      </w:r>
    </w:p>
    <w:p>
      <w:pPr>
        <w:widowControl w:val="0"/>
        <w:adjustRightInd w:val="0"/>
        <w:snapToGrid w:val="0"/>
        <w:spacing w:after="0" w:line="576" w:lineRule="exact"/>
        <w:ind w:firstLine="640" w:firstLineChars="200"/>
        <w:jc w:val="both"/>
        <w:rPr>
          <w:rFonts w:hint="eastAsia"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rPr>
        <w:t>6.万昌镇花家村、玉华村基础设施建设工程</w:t>
      </w:r>
      <w:r>
        <w:rPr>
          <w:rFonts w:hint="eastAsia" w:ascii="Times New Roman" w:hAnsi="Times New Roman" w:eastAsia="仿宋_GB2312" w:cs="Times New Roman"/>
          <w:bCs/>
          <w:kern w:val="2"/>
          <w:sz w:val="32"/>
          <w:szCs w:val="32"/>
          <w:lang w:eastAsia="zh-CN"/>
        </w:rPr>
        <w:t>。</w:t>
      </w:r>
      <w:r>
        <w:rPr>
          <w:rFonts w:hint="eastAsia" w:ascii="Times New Roman" w:hAnsi="Times New Roman" w:eastAsia="仿宋_GB2312" w:cs="Times New Roman"/>
          <w:bCs/>
          <w:kern w:val="2"/>
          <w:sz w:val="32"/>
          <w:szCs w:val="32"/>
        </w:rPr>
        <w:t>投入衔接资金132.440271万元，花家村2531.024米水泥路铺沥青罩面；玉华村366.528米砂石路新建水泥混凝土路面</w:t>
      </w:r>
      <w:r>
        <w:rPr>
          <w:rFonts w:hint="eastAsia" w:ascii="Times New Roman" w:hAnsi="Times New Roman" w:eastAsia="仿宋_GB2312" w:cs="Times New Roman"/>
          <w:bCs/>
          <w:kern w:val="2"/>
          <w:sz w:val="32"/>
          <w:szCs w:val="32"/>
          <w:lang w:eastAsia="zh-CN"/>
        </w:rPr>
        <w:t>，</w:t>
      </w:r>
      <w:r>
        <w:rPr>
          <w:rFonts w:hint="eastAsia" w:ascii="Times New Roman" w:hAnsi="Times New Roman" w:eastAsia="仿宋_GB2312" w:cs="Times New Roman"/>
          <w:bCs/>
          <w:kern w:val="2"/>
          <w:sz w:val="32"/>
          <w:szCs w:val="32"/>
          <w:lang w:val="en-US" w:eastAsia="zh-CN"/>
        </w:rPr>
        <w:t>项目进一步提高了群众出行的便利性和安全性，</w:t>
      </w:r>
      <w:r>
        <w:rPr>
          <w:rFonts w:hint="eastAsia" w:ascii="Times New Roman" w:hAnsi="Times New Roman" w:eastAsia="仿宋_GB2312" w:cs="Times New Roman"/>
          <w:bCs/>
          <w:kern w:val="2"/>
          <w:sz w:val="32"/>
          <w:szCs w:val="32"/>
        </w:rPr>
        <w:t>收益群众满意度100%。</w:t>
      </w:r>
    </w:p>
    <w:p>
      <w:pPr>
        <w:widowControl w:val="0"/>
        <w:adjustRightInd w:val="0"/>
        <w:snapToGrid w:val="0"/>
        <w:spacing w:after="0" w:line="576" w:lineRule="exact"/>
        <w:ind w:firstLine="640" w:firstLineChars="200"/>
        <w:jc w:val="both"/>
        <w:rPr>
          <w:rFonts w:hint="eastAsia"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rPr>
        <w:t>7.一拉溪镇陡咀子村道路建设工程。投入衔接资金186.388051万元，在陡咀子村6社新修水泥硬化路共计1814.606米，其中4米宽道路772.251米，3.5米宽道路1042.355米。</w:t>
      </w:r>
      <w:r>
        <w:rPr>
          <w:rFonts w:hint="eastAsia" w:ascii="Times New Roman" w:hAnsi="Times New Roman" w:eastAsia="仿宋_GB2312" w:cs="Times New Roman"/>
          <w:bCs/>
          <w:kern w:val="2"/>
          <w:sz w:val="32"/>
          <w:szCs w:val="32"/>
          <w:lang w:val="en-US" w:eastAsia="zh-CN"/>
        </w:rPr>
        <w:t>项目进一步补齐村屯基础设施建设短板，保障村民生产生活和出行安全。</w:t>
      </w:r>
      <w:r>
        <w:rPr>
          <w:rFonts w:hint="eastAsia" w:ascii="Times New Roman" w:hAnsi="Times New Roman" w:eastAsia="仿宋_GB2312" w:cs="Times New Roman"/>
          <w:bCs/>
          <w:kern w:val="2"/>
          <w:sz w:val="32"/>
          <w:szCs w:val="32"/>
        </w:rPr>
        <w:t>受益群众满意度100%。</w:t>
      </w:r>
    </w:p>
    <w:p>
      <w:pPr>
        <w:widowControl w:val="0"/>
        <w:adjustRightInd w:val="0"/>
        <w:snapToGrid w:val="0"/>
        <w:spacing w:after="0" w:line="576" w:lineRule="exact"/>
        <w:ind w:firstLine="640" w:firstLineChars="200"/>
        <w:jc w:val="both"/>
        <w:rPr>
          <w:rFonts w:hint="eastAsia"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rPr>
        <w:t>8.吉林市永吉县黄榆乡基础设施建设工程。该项目投入衔接资金390.5537万元，新建水泥混凝土路面20560㎡、土方工程（含培路肩）9046.4㎡、茶壶嘴道路圆管涵（4座）24m。项目建成后将进一步改善屯内人居环境，</w:t>
      </w:r>
      <w:r>
        <w:rPr>
          <w:rFonts w:hint="eastAsia" w:ascii="Times New Roman" w:hAnsi="Times New Roman" w:eastAsia="仿宋_GB2312" w:cs="Times New Roman"/>
          <w:bCs/>
          <w:kern w:val="2"/>
          <w:sz w:val="32"/>
          <w:szCs w:val="32"/>
          <w:lang w:val="en-US" w:eastAsia="zh-CN"/>
        </w:rPr>
        <w:t>提高了群众出行的便利性和安全性</w:t>
      </w:r>
      <w:r>
        <w:rPr>
          <w:rFonts w:hint="eastAsia" w:ascii="Times New Roman" w:hAnsi="Times New Roman" w:eastAsia="仿宋_GB2312" w:cs="Times New Roman"/>
          <w:bCs/>
          <w:kern w:val="2"/>
          <w:sz w:val="32"/>
          <w:szCs w:val="32"/>
        </w:rPr>
        <w:t>，群众满意度100%。</w:t>
      </w:r>
    </w:p>
    <w:p>
      <w:pPr>
        <w:widowControl w:val="0"/>
        <w:adjustRightInd w:val="0"/>
        <w:snapToGrid w:val="0"/>
        <w:spacing w:after="0" w:line="576" w:lineRule="exact"/>
        <w:ind w:firstLine="640" w:firstLineChars="200"/>
        <w:jc w:val="both"/>
        <w:rPr>
          <w:rFonts w:hint="eastAsia"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rPr>
        <w:t>总体来说，纳入财政整体支出绩效考核评价的60个预算单位能够较好的履行单位职责，全县年初预算项目都已落实完毕，完成规定的绩效目标，为我县将来预算编制提供了有力依据。</w:t>
      </w:r>
    </w:p>
    <w:sectPr>
      <w:pgSz w:w="11906" w:h="16838"/>
      <w:pgMar w:top="1440" w:right="1803" w:bottom="1440" w:left="1803" w:header="851" w:footer="992" w:gutter="0"/>
      <w:pgBorders>
        <w:top w:val="none" w:sz="0" w:space="0"/>
        <w:left w:val="none" w:sz="0" w:space="0"/>
        <w:bottom w:val="none" w:sz="0" w:space="0"/>
        <w:right w:val="none" w:sz="0" w:space="0"/>
      </w:pgBorders>
      <w:pgNumType w:fmt="numberInDash"/>
      <w:cols w:space="0" w:num="1"/>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文本框 3"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89846B"/>
    <w:multiLevelType w:val="singleLevel"/>
    <w:tmpl w:val="F0898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YWRhNTdjOWQyZjU5Y2M2NjM4NmY0YjhmODU4M2I2MTAifQ=="/>
  </w:docVars>
  <w:rsids>
    <w:rsidRoot w:val="00D31D50"/>
    <w:rsid w:val="000061D8"/>
    <w:rsid w:val="00102150"/>
    <w:rsid w:val="00323B43"/>
    <w:rsid w:val="003D37D8"/>
    <w:rsid w:val="00426133"/>
    <w:rsid w:val="004358AB"/>
    <w:rsid w:val="00441793"/>
    <w:rsid w:val="004E1553"/>
    <w:rsid w:val="006E2EB7"/>
    <w:rsid w:val="00832AA1"/>
    <w:rsid w:val="00836E97"/>
    <w:rsid w:val="008B7726"/>
    <w:rsid w:val="00921469"/>
    <w:rsid w:val="00D31D50"/>
    <w:rsid w:val="013B0DE8"/>
    <w:rsid w:val="0153398F"/>
    <w:rsid w:val="01802C9E"/>
    <w:rsid w:val="01817603"/>
    <w:rsid w:val="01883393"/>
    <w:rsid w:val="01977F3E"/>
    <w:rsid w:val="01AA7D1B"/>
    <w:rsid w:val="01C1444F"/>
    <w:rsid w:val="02022956"/>
    <w:rsid w:val="020573F5"/>
    <w:rsid w:val="0205767C"/>
    <w:rsid w:val="02060B41"/>
    <w:rsid w:val="023560A6"/>
    <w:rsid w:val="029A1B3E"/>
    <w:rsid w:val="02F83DE2"/>
    <w:rsid w:val="0300236B"/>
    <w:rsid w:val="03306781"/>
    <w:rsid w:val="03390BC2"/>
    <w:rsid w:val="03542192"/>
    <w:rsid w:val="036068E4"/>
    <w:rsid w:val="038145B8"/>
    <w:rsid w:val="03912F41"/>
    <w:rsid w:val="03AE2860"/>
    <w:rsid w:val="03AE3AF3"/>
    <w:rsid w:val="03B10EED"/>
    <w:rsid w:val="040D179B"/>
    <w:rsid w:val="042D3BE3"/>
    <w:rsid w:val="045A6874"/>
    <w:rsid w:val="04963AEA"/>
    <w:rsid w:val="04D6652D"/>
    <w:rsid w:val="04E452F2"/>
    <w:rsid w:val="054D1677"/>
    <w:rsid w:val="0550715A"/>
    <w:rsid w:val="057C377D"/>
    <w:rsid w:val="05917228"/>
    <w:rsid w:val="05CB19D9"/>
    <w:rsid w:val="05D24F9A"/>
    <w:rsid w:val="05E77031"/>
    <w:rsid w:val="06205E6C"/>
    <w:rsid w:val="06815CB3"/>
    <w:rsid w:val="06D97B80"/>
    <w:rsid w:val="0760702C"/>
    <w:rsid w:val="076F17EB"/>
    <w:rsid w:val="077614EF"/>
    <w:rsid w:val="077F1277"/>
    <w:rsid w:val="07935DE5"/>
    <w:rsid w:val="07A1571D"/>
    <w:rsid w:val="07BB67DE"/>
    <w:rsid w:val="07C3707E"/>
    <w:rsid w:val="07C75183"/>
    <w:rsid w:val="07CD6512"/>
    <w:rsid w:val="07D70A0B"/>
    <w:rsid w:val="07F25F78"/>
    <w:rsid w:val="08002443"/>
    <w:rsid w:val="080E1140"/>
    <w:rsid w:val="084E67CA"/>
    <w:rsid w:val="08555C58"/>
    <w:rsid w:val="089D4E0C"/>
    <w:rsid w:val="08A8716B"/>
    <w:rsid w:val="08C264A7"/>
    <w:rsid w:val="08CB4FE1"/>
    <w:rsid w:val="08DC5BFF"/>
    <w:rsid w:val="090452D1"/>
    <w:rsid w:val="098A3E6E"/>
    <w:rsid w:val="09F064E7"/>
    <w:rsid w:val="09FF1896"/>
    <w:rsid w:val="0A232419"/>
    <w:rsid w:val="0A2D14EA"/>
    <w:rsid w:val="0A390045"/>
    <w:rsid w:val="0A4B69F1"/>
    <w:rsid w:val="0A56459C"/>
    <w:rsid w:val="0A697C5B"/>
    <w:rsid w:val="0A740EC6"/>
    <w:rsid w:val="0AAE262A"/>
    <w:rsid w:val="0AC37758"/>
    <w:rsid w:val="0ACE2529"/>
    <w:rsid w:val="0ADA51CD"/>
    <w:rsid w:val="0B0A49C6"/>
    <w:rsid w:val="0B0D6131"/>
    <w:rsid w:val="0B161F7E"/>
    <w:rsid w:val="0B61144B"/>
    <w:rsid w:val="0B85745E"/>
    <w:rsid w:val="0B9570D9"/>
    <w:rsid w:val="0BB1713C"/>
    <w:rsid w:val="0BBC2B25"/>
    <w:rsid w:val="0C00569B"/>
    <w:rsid w:val="0C0266E3"/>
    <w:rsid w:val="0C08196F"/>
    <w:rsid w:val="0C44710E"/>
    <w:rsid w:val="0C5F529A"/>
    <w:rsid w:val="0C8C24F7"/>
    <w:rsid w:val="0C966B72"/>
    <w:rsid w:val="0CB466C8"/>
    <w:rsid w:val="0CDF7759"/>
    <w:rsid w:val="0CF36836"/>
    <w:rsid w:val="0CF85DDF"/>
    <w:rsid w:val="0D0B5B12"/>
    <w:rsid w:val="0D405202"/>
    <w:rsid w:val="0D6214AA"/>
    <w:rsid w:val="0D671A33"/>
    <w:rsid w:val="0D7A2C98"/>
    <w:rsid w:val="0D827083"/>
    <w:rsid w:val="0DB81A1E"/>
    <w:rsid w:val="0DD56120"/>
    <w:rsid w:val="0DFF2C22"/>
    <w:rsid w:val="0E0B497D"/>
    <w:rsid w:val="0E2235F1"/>
    <w:rsid w:val="0E62280C"/>
    <w:rsid w:val="0E900046"/>
    <w:rsid w:val="0E94205F"/>
    <w:rsid w:val="0EAA7385"/>
    <w:rsid w:val="0EB75826"/>
    <w:rsid w:val="0EE36845"/>
    <w:rsid w:val="0EFD76DC"/>
    <w:rsid w:val="0F3B1898"/>
    <w:rsid w:val="0F6D69BB"/>
    <w:rsid w:val="0F841EBD"/>
    <w:rsid w:val="0F9216F8"/>
    <w:rsid w:val="0FBC1346"/>
    <w:rsid w:val="0FCF6D49"/>
    <w:rsid w:val="0FDA5C70"/>
    <w:rsid w:val="0FDC3BD4"/>
    <w:rsid w:val="0FE12B5A"/>
    <w:rsid w:val="103E7FAD"/>
    <w:rsid w:val="10437371"/>
    <w:rsid w:val="10556140"/>
    <w:rsid w:val="10882A18"/>
    <w:rsid w:val="10E34A03"/>
    <w:rsid w:val="10F212BC"/>
    <w:rsid w:val="10F723EE"/>
    <w:rsid w:val="110B2A87"/>
    <w:rsid w:val="11202B3C"/>
    <w:rsid w:val="114E3FC8"/>
    <w:rsid w:val="11555880"/>
    <w:rsid w:val="11665B62"/>
    <w:rsid w:val="116E36DA"/>
    <w:rsid w:val="11C72770"/>
    <w:rsid w:val="11C93240"/>
    <w:rsid w:val="11CC772A"/>
    <w:rsid w:val="11EC46FF"/>
    <w:rsid w:val="12647A72"/>
    <w:rsid w:val="12900868"/>
    <w:rsid w:val="12976D66"/>
    <w:rsid w:val="12A96665"/>
    <w:rsid w:val="12EC1F42"/>
    <w:rsid w:val="13071061"/>
    <w:rsid w:val="13274D28"/>
    <w:rsid w:val="13925C5F"/>
    <w:rsid w:val="13BB7B66"/>
    <w:rsid w:val="13D1103D"/>
    <w:rsid w:val="142919F4"/>
    <w:rsid w:val="142C40F0"/>
    <w:rsid w:val="143D1032"/>
    <w:rsid w:val="143F0797"/>
    <w:rsid w:val="146004C6"/>
    <w:rsid w:val="146853CC"/>
    <w:rsid w:val="148A272A"/>
    <w:rsid w:val="1492319D"/>
    <w:rsid w:val="149C34F4"/>
    <w:rsid w:val="14A2149A"/>
    <w:rsid w:val="14C63417"/>
    <w:rsid w:val="15205DB6"/>
    <w:rsid w:val="156D6C3E"/>
    <w:rsid w:val="15942A55"/>
    <w:rsid w:val="15990D17"/>
    <w:rsid w:val="15CA314E"/>
    <w:rsid w:val="15CE6608"/>
    <w:rsid w:val="15FF3D3A"/>
    <w:rsid w:val="161609FE"/>
    <w:rsid w:val="163953E7"/>
    <w:rsid w:val="163B6C14"/>
    <w:rsid w:val="164F24A0"/>
    <w:rsid w:val="165D3AE1"/>
    <w:rsid w:val="16731C09"/>
    <w:rsid w:val="16784A4E"/>
    <w:rsid w:val="16D57191"/>
    <w:rsid w:val="16FE0496"/>
    <w:rsid w:val="17125CEF"/>
    <w:rsid w:val="17710C68"/>
    <w:rsid w:val="17723949"/>
    <w:rsid w:val="17747262"/>
    <w:rsid w:val="177A3993"/>
    <w:rsid w:val="17960665"/>
    <w:rsid w:val="17B27D7A"/>
    <w:rsid w:val="18086B3F"/>
    <w:rsid w:val="188A680E"/>
    <w:rsid w:val="18C269EE"/>
    <w:rsid w:val="18CE73FA"/>
    <w:rsid w:val="18F16C54"/>
    <w:rsid w:val="18FB3A9F"/>
    <w:rsid w:val="19037FE5"/>
    <w:rsid w:val="1945415A"/>
    <w:rsid w:val="19832ED4"/>
    <w:rsid w:val="19A63172"/>
    <w:rsid w:val="19B93742"/>
    <w:rsid w:val="1A030C66"/>
    <w:rsid w:val="1A057D8D"/>
    <w:rsid w:val="1A0C5283"/>
    <w:rsid w:val="1A677C09"/>
    <w:rsid w:val="1A9E347E"/>
    <w:rsid w:val="1AE97909"/>
    <w:rsid w:val="1AF71484"/>
    <w:rsid w:val="1AFE49A5"/>
    <w:rsid w:val="1B6A0AA5"/>
    <w:rsid w:val="1B6A0AE5"/>
    <w:rsid w:val="1BAD2CA0"/>
    <w:rsid w:val="1BE53697"/>
    <w:rsid w:val="1BF0403F"/>
    <w:rsid w:val="1C0A23C2"/>
    <w:rsid w:val="1C1E2502"/>
    <w:rsid w:val="1C4F3541"/>
    <w:rsid w:val="1D323DCF"/>
    <w:rsid w:val="1D492EC0"/>
    <w:rsid w:val="1D4B1B7E"/>
    <w:rsid w:val="1D6358BA"/>
    <w:rsid w:val="1E606294"/>
    <w:rsid w:val="1E6432D4"/>
    <w:rsid w:val="1E694901"/>
    <w:rsid w:val="1EA0645A"/>
    <w:rsid w:val="1EAA5BAE"/>
    <w:rsid w:val="1EC303AE"/>
    <w:rsid w:val="1EE627FB"/>
    <w:rsid w:val="1F0E394C"/>
    <w:rsid w:val="1F2708A3"/>
    <w:rsid w:val="1F3A160A"/>
    <w:rsid w:val="1F4A1750"/>
    <w:rsid w:val="1F4E5815"/>
    <w:rsid w:val="1F856F40"/>
    <w:rsid w:val="1FA6178A"/>
    <w:rsid w:val="1FB50154"/>
    <w:rsid w:val="1FC102B2"/>
    <w:rsid w:val="20242636"/>
    <w:rsid w:val="203E60D5"/>
    <w:rsid w:val="2048214B"/>
    <w:rsid w:val="20605222"/>
    <w:rsid w:val="20A31B4A"/>
    <w:rsid w:val="20CF4D0D"/>
    <w:rsid w:val="20E9521E"/>
    <w:rsid w:val="20F26E11"/>
    <w:rsid w:val="21463165"/>
    <w:rsid w:val="21472463"/>
    <w:rsid w:val="216C2627"/>
    <w:rsid w:val="21751354"/>
    <w:rsid w:val="21763E46"/>
    <w:rsid w:val="218A2969"/>
    <w:rsid w:val="21F52495"/>
    <w:rsid w:val="221F7512"/>
    <w:rsid w:val="22904EE3"/>
    <w:rsid w:val="229604D4"/>
    <w:rsid w:val="22996551"/>
    <w:rsid w:val="22B87A4D"/>
    <w:rsid w:val="22DD3A8A"/>
    <w:rsid w:val="22EC5646"/>
    <w:rsid w:val="2303465D"/>
    <w:rsid w:val="23046E34"/>
    <w:rsid w:val="234A56FC"/>
    <w:rsid w:val="234E2DF2"/>
    <w:rsid w:val="235C0A1E"/>
    <w:rsid w:val="23606EBC"/>
    <w:rsid w:val="23690A46"/>
    <w:rsid w:val="23E40A13"/>
    <w:rsid w:val="23FF4CA7"/>
    <w:rsid w:val="240D6FC4"/>
    <w:rsid w:val="24200217"/>
    <w:rsid w:val="244871F4"/>
    <w:rsid w:val="24826042"/>
    <w:rsid w:val="24C70119"/>
    <w:rsid w:val="24E752CA"/>
    <w:rsid w:val="25236D9F"/>
    <w:rsid w:val="252C1C36"/>
    <w:rsid w:val="253264D3"/>
    <w:rsid w:val="2538648D"/>
    <w:rsid w:val="253F4153"/>
    <w:rsid w:val="255065E2"/>
    <w:rsid w:val="255A0464"/>
    <w:rsid w:val="25604BE5"/>
    <w:rsid w:val="25773F32"/>
    <w:rsid w:val="257C58CD"/>
    <w:rsid w:val="25A866E5"/>
    <w:rsid w:val="25C7239A"/>
    <w:rsid w:val="25CD17F2"/>
    <w:rsid w:val="25D80104"/>
    <w:rsid w:val="25D86356"/>
    <w:rsid w:val="25DF5CBB"/>
    <w:rsid w:val="263E08AF"/>
    <w:rsid w:val="264D28A0"/>
    <w:rsid w:val="2665408D"/>
    <w:rsid w:val="267406A1"/>
    <w:rsid w:val="268230C3"/>
    <w:rsid w:val="269664BE"/>
    <w:rsid w:val="269A3F89"/>
    <w:rsid w:val="26C22734"/>
    <w:rsid w:val="26DE037A"/>
    <w:rsid w:val="27AC61B9"/>
    <w:rsid w:val="27D8263D"/>
    <w:rsid w:val="27FE6EF0"/>
    <w:rsid w:val="28110526"/>
    <w:rsid w:val="2814724C"/>
    <w:rsid w:val="282B140C"/>
    <w:rsid w:val="28375750"/>
    <w:rsid w:val="28560FCB"/>
    <w:rsid w:val="286E1C83"/>
    <w:rsid w:val="289F7C50"/>
    <w:rsid w:val="28CD43A7"/>
    <w:rsid w:val="29812E00"/>
    <w:rsid w:val="2996455E"/>
    <w:rsid w:val="29AA0AD5"/>
    <w:rsid w:val="29B1687E"/>
    <w:rsid w:val="29B63151"/>
    <w:rsid w:val="29F55728"/>
    <w:rsid w:val="2A0873C7"/>
    <w:rsid w:val="2A3F69A3"/>
    <w:rsid w:val="2A477BBF"/>
    <w:rsid w:val="2A7E3546"/>
    <w:rsid w:val="2A887A0B"/>
    <w:rsid w:val="2AC60146"/>
    <w:rsid w:val="2AF91248"/>
    <w:rsid w:val="2AF9760E"/>
    <w:rsid w:val="2B0E7904"/>
    <w:rsid w:val="2B3B6C64"/>
    <w:rsid w:val="2B611C34"/>
    <w:rsid w:val="2B910D6A"/>
    <w:rsid w:val="2B936FA7"/>
    <w:rsid w:val="2B9570FA"/>
    <w:rsid w:val="2BB56E47"/>
    <w:rsid w:val="2BF10171"/>
    <w:rsid w:val="2BF92F32"/>
    <w:rsid w:val="2C5F157F"/>
    <w:rsid w:val="2C7C4112"/>
    <w:rsid w:val="2C8A4498"/>
    <w:rsid w:val="2C8C559B"/>
    <w:rsid w:val="2C956D4E"/>
    <w:rsid w:val="2C9A10B4"/>
    <w:rsid w:val="2CB0586A"/>
    <w:rsid w:val="2CBC0FE6"/>
    <w:rsid w:val="2CC338BC"/>
    <w:rsid w:val="2CDE6947"/>
    <w:rsid w:val="2D0A021B"/>
    <w:rsid w:val="2D4744ED"/>
    <w:rsid w:val="2D5A402F"/>
    <w:rsid w:val="2E0E21C8"/>
    <w:rsid w:val="2E8157DC"/>
    <w:rsid w:val="2ED02867"/>
    <w:rsid w:val="2EE24B4A"/>
    <w:rsid w:val="2F333F87"/>
    <w:rsid w:val="2F3A5FB6"/>
    <w:rsid w:val="2F4C6C90"/>
    <w:rsid w:val="2F6E0D2D"/>
    <w:rsid w:val="2F7075FF"/>
    <w:rsid w:val="2F9B6E27"/>
    <w:rsid w:val="2FAC4ADB"/>
    <w:rsid w:val="2FBB348E"/>
    <w:rsid w:val="2FC736C3"/>
    <w:rsid w:val="2FEE3910"/>
    <w:rsid w:val="30515682"/>
    <w:rsid w:val="305320C6"/>
    <w:rsid w:val="308349EB"/>
    <w:rsid w:val="309D26FC"/>
    <w:rsid w:val="30A36E0A"/>
    <w:rsid w:val="30AD4066"/>
    <w:rsid w:val="30FC7EA1"/>
    <w:rsid w:val="30FD4EC2"/>
    <w:rsid w:val="31132938"/>
    <w:rsid w:val="315321B6"/>
    <w:rsid w:val="3155488D"/>
    <w:rsid w:val="3155608C"/>
    <w:rsid w:val="31653241"/>
    <w:rsid w:val="319677F1"/>
    <w:rsid w:val="31973569"/>
    <w:rsid w:val="31AF049E"/>
    <w:rsid w:val="31BC7B89"/>
    <w:rsid w:val="31BE42AC"/>
    <w:rsid w:val="322A63A7"/>
    <w:rsid w:val="324B7348"/>
    <w:rsid w:val="325C6F85"/>
    <w:rsid w:val="328007DE"/>
    <w:rsid w:val="32AF1B92"/>
    <w:rsid w:val="32B642F1"/>
    <w:rsid w:val="33243993"/>
    <w:rsid w:val="335039CF"/>
    <w:rsid w:val="33792F26"/>
    <w:rsid w:val="339A78D1"/>
    <w:rsid w:val="33BF67AD"/>
    <w:rsid w:val="33F933F4"/>
    <w:rsid w:val="33FD68F0"/>
    <w:rsid w:val="34511572"/>
    <w:rsid w:val="346D2E29"/>
    <w:rsid w:val="347A3B44"/>
    <w:rsid w:val="347B0F20"/>
    <w:rsid w:val="34961621"/>
    <w:rsid w:val="34C957E7"/>
    <w:rsid w:val="34CB63A6"/>
    <w:rsid w:val="34D810A4"/>
    <w:rsid w:val="34DC2CA2"/>
    <w:rsid w:val="34E45C0B"/>
    <w:rsid w:val="34F266E5"/>
    <w:rsid w:val="34F52CEB"/>
    <w:rsid w:val="35215C68"/>
    <w:rsid w:val="352526B6"/>
    <w:rsid w:val="354030C8"/>
    <w:rsid w:val="355E0625"/>
    <w:rsid w:val="35611825"/>
    <w:rsid w:val="35803FB6"/>
    <w:rsid w:val="35B02DF4"/>
    <w:rsid w:val="35D31047"/>
    <w:rsid w:val="35D81164"/>
    <w:rsid w:val="35F81D42"/>
    <w:rsid w:val="35FA5E74"/>
    <w:rsid w:val="35FC1BEC"/>
    <w:rsid w:val="3621237D"/>
    <w:rsid w:val="362E76E6"/>
    <w:rsid w:val="363D6BBB"/>
    <w:rsid w:val="366E2AEA"/>
    <w:rsid w:val="36730100"/>
    <w:rsid w:val="36923C71"/>
    <w:rsid w:val="36CE0F9D"/>
    <w:rsid w:val="36DF5351"/>
    <w:rsid w:val="36E55B21"/>
    <w:rsid w:val="36EE59D9"/>
    <w:rsid w:val="3710594F"/>
    <w:rsid w:val="371D5C16"/>
    <w:rsid w:val="37516E98"/>
    <w:rsid w:val="376958AF"/>
    <w:rsid w:val="37D96F69"/>
    <w:rsid w:val="37EE22E0"/>
    <w:rsid w:val="37F64977"/>
    <w:rsid w:val="381A7DA5"/>
    <w:rsid w:val="384223E5"/>
    <w:rsid w:val="3851190D"/>
    <w:rsid w:val="390A5865"/>
    <w:rsid w:val="392C506F"/>
    <w:rsid w:val="3934169D"/>
    <w:rsid w:val="39832859"/>
    <w:rsid w:val="398A0386"/>
    <w:rsid w:val="39FB3442"/>
    <w:rsid w:val="3A11525B"/>
    <w:rsid w:val="3A233BEC"/>
    <w:rsid w:val="3A4F5B49"/>
    <w:rsid w:val="3A683CF4"/>
    <w:rsid w:val="3A88317F"/>
    <w:rsid w:val="3A963A42"/>
    <w:rsid w:val="3ABD0D6D"/>
    <w:rsid w:val="3AC3717D"/>
    <w:rsid w:val="3AC9023B"/>
    <w:rsid w:val="3AEF5046"/>
    <w:rsid w:val="3B0029AF"/>
    <w:rsid w:val="3B3B324A"/>
    <w:rsid w:val="3B8406BA"/>
    <w:rsid w:val="3B84285C"/>
    <w:rsid w:val="3BB00C1C"/>
    <w:rsid w:val="3BB24DB6"/>
    <w:rsid w:val="3BC8410B"/>
    <w:rsid w:val="3BCE6465"/>
    <w:rsid w:val="3BE270EB"/>
    <w:rsid w:val="3BEC412E"/>
    <w:rsid w:val="3BFA097C"/>
    <w:rsid w:val="3C052337"/>
    <w:rsid w:val="3C3363EC"/>
    <w:rsid w:val="3C7C3A4E"/>
    <w:rsid w:val="3C7E3BFA"/>
    <w:rsid w:val="3CCD6091"/>
    <w:rsid w:val="3CE21B3C"/>
    <w:rsid w:val="3CEC0D46"/>
    <w:rsid w:val="3CF237D3"/>
    <w:rsid w:val="3CFE0C13"/>
    <w:rsid w:val="3D1B2ECD"/>
    <w:rsid w:val="3D395934"/>
    <w:rsid w:val="3D475DEF"/>
    <w:rsid w:val="3D4A1496"/>
    <w:rsid w:val="3D633D0C"/>
    <w:rsid w:val="3D7A6218"/>
    <w:rsid w:val="3DB652AD"/>
    <w:rsid w:val="3DB8257E"/>
    <w:rsid w:val="3DE64954"/>
    <w:rsid w:val="3DEB2C72"/>
    <w:rsid w:val="3E13765C"/>
    <w:rsid w:val="3E2B12C1"/>
    <w:rsid w:val="3E336F0D"/>
    <w:rsid w:val="3E592ACB"/>
    <w:rsid w:val="3E967B80"/>
    <w:rsid w:val="3EA559E4"/>
    <w:rsid w:val="3EB23E35"/>
    <w:rsid w:val="3EE03731"/>
    <w:rsid w:val="3F014394"/>
    <w:rsid w:val="3F216AF9"/>
    <w:rsid w:val="3F3D74FE"/>
    <w:rsid w:val="3F3F535D"/>
    <w:rsid w:val="3F972C5E"/>
    <w:rsid w:val="3FC96FE3"/>
    <w:rsid w:val="3FE06B86"/>
    <w:rsid w:val="3FE11DB2"/>
    <w:rsid w:val="400D103A"/>
    <w:rsid w:val="400E0999"/>
    <w:rsid w:val="40302BBE"/>
    <w:rsid w:val="40316936"/>
    <w:rsid w:val="4050090A"/>
    <w:rsid w:val="40585419"/>
    <w:rsid w:val="40811C90"/>
    <w:rsid w:val="40A44D1B"/>
    <w:rsid w:val="40A47286"/>
    <w:rsid w:val="40C1415E"/>
    <w:rsid w:val="40DC7371"/>
    <w:rsid w:val="40DF7F41"/>
    <w:rsid w:val="40F01DD4"/>
    <w:rsid w:val="413D016F"/>
    <w:rsid w:val="41546D80"/>
    <w:rsid w:val="415B21F7"/>
    <w:rsid w:val="418800C2"/>
    <w:rsid w:val="41C1260A"/>
    <w:rsid w:val="41DC0740"/>
    <w:rsid w:val="41E53E7C"/>
    <w:rsid w:val="41FB544E"/>
    <w:rsid w:val="420A743F"/>
    <w:rsid w:val="423602A4"/>
    <w:rsid w:val="42642FF3"/>
    <w:rsid w:val="427D2C92"/>
    <w:rsid w:val="427F6E02"/>
    <w:rsid w:val="42812836"/>
    <w:rsid w:val="428720F1"/>
    <w:rsid w:val="428E1E1E"/>
    <w:rsid w:val="42942F33"/>
    <w:rsid w:val="429E3A07"/>
    <w:rsid w:val="42ED44F6"/>
    <w:rsid w:val="42F32422"/>
    <w:rsid w:val="43104F29"/>
    <w:rsid w:val="439F6833"/>
    <w:rsid w:val="43AD665B"/>
    <w:rsid w:val="43C47AEF"/>
    <w:rsid w:val="43DD12AF"/>
    <w:rsid w:val="43F079D4"/>
    <w:rsid w:val="43F67065"/>
    <w:rsid w:val="44246EDE"/>
    <w:rsid w:val="444E0313"/>
    <w:rsid w:val="446B0669"/>
    <w:rsid w:val="44775260"/>
    <w:rsid w:val="449F7158"/>
    <w:rsid w:val="44A55335"/>
    <w:rsid w:val="44A973E3"/>
    <w:rsid w:val="44C128DE"/>
    <w:rsid w:val="450834D0"/>
    <w:rsid w:val="45143CD2"/>
    <w:rsid w:val="456D6141"/>
    <w:rsid w:val="45877724"/>
    <w:rsid w:val="45C36283"/>
    <w:rsid w:val="45C92C96"/>
    <w:rsid w:val="45D00FD8"/>
    <w:rsid w:val="46061F6A"/>
    <w:rsid w:val="460E4BB4"/>
    <w:rsid w:val="465A6961"/>
    <w:rsid w:val="46A80F1F"/>
    <w:rsid w:val="46AA3CC9"/>
    <w:rsid w:val="46BC026D"/>
    <w:rsid w:val="46C84454"/>
    <w:rsid w:val="46DE0FD7"/>
    <w:rsid w:val="471B6FB2"/>
    <w:rsid w:val="47392CA0"/>
    <w:rsid w:val="47906638"/>
    <w:rsid w:val="47D77324"/>
    <w:rsid w:val="481316CF"/>
    <w:rsid w:val="481728B6"/>
    <w:rsid w:val="482B27C1"/>
    <w:rsid w:val="485F219C"/>
    <w:rsid w:val="48816D46"/>
    <w:rsid w:val="48931F3C"/>
    <w:rsid w:val="48C12E89"/>
    <w:rsid w:val="48D80297"/>
    <w:rsid w:val="48EC5AF0"/>
    <w:rsid w:val="490135A1"/>
    <w:rsid w:val="491F1A22"/>
    <w:rsid w:val="492D2391"/>
    <w:rsid w:val="496D09DF"/>
    <w:rsid w:val="496D5598"/>
    <w:rsid w:val="49B605D8"/>
    <w:rsid w:val="49BA5F57"/>
    <w:rsid w:val="49C820BA"/>
    <w:rsid w:val="49C96054"/>
    <w:rsid w:val="49D97F97"/>
    <w:rsid w:val="49F3183F"/>
    <w:rsid w:val="4A421E6C"/>
    <w:rsid w:val="4AAD40C0"/>
    <w:rsid w:val="4AB34B18"/>
    <w:rsid w:val="4AB94054"/>
    <w:rsid w:val="4AC7411F"/>
    <w:rsid w:val="4AD64E25"/>
    <w:rsid w:val="4AE256BB"/>
    <w:rsid w:val="4AEA6802"/>
    <w:rsid w:val="4B0233A9"/>
    <w:rsid w:val="4B2C615B"/>
    <w:rsid w:val="4B5D136C"/>
    <w:rsid w:val="4BD81F28"/>
    <w:rsid w:val="4C00292D"/>
    <w:rsid w:val="4C3D35AC"/>
    <w:rsid w:val="4C60163C"/>
    <w:rsid w:val="4C995FFF"/>
    <w:rsid w:val="4CC52EB8"/>
    <w:rsid w:val="4CE641A2"/>
    <w:rsid w:val="4CF95344"/>
    <w:rsid w:val="4CFF4392"/>
    <w:rsid w:val="4D085466"/>
    <w:rsid w:val="4D6F7ACE"/>
    <w:rsid w:val="4D7A7111"/>
    <w:rsid w:val="4D92310A"/>
    <w:rsid w:val="4DB06E57"/>
    <w:rsid w:val="4E65437B"/>
    <w:rsid w:val="4E6C7832"/>
    <w:rsid w:val="4E8223A4"/>
    <w:rsid w:val="4E895B2B"/>
    <w:rsid w:val="4EAD187E"/>
    <w:rsid w:val="4ECE46EF"/>
    <w:rsid w:val="4ED60034"/>
    <w:rsid w:val="4ED82D9F"/>
    <w:rsid w:val="4EEA4DAE"/>
    <w:rsid w:val="4EFA424F"/>
    <w:rsid w:val="4F1A6B9B"/>
    <w:rsid w:val="4F214D18"/>
    <w:rsid w:val="4F4F0B87"/>
    <w:rsid w:val="4FA9376F"/>
    <w:rsid w:val="50546455"/>
    <w:rsid w:val="5079410E"/>
    <w:rsid w:val="509C5D50"/>
    <w:rsid w:val="50A13664"/>
    <w:rsid w:val="50A218B6"/>
    <w:rsid w:val="50AE085F"/>
    <w:rsid w:val="50CE3598"/>
    <w:rsid w:val="51091A40"/>
    <w:rsid w:val="510A705F"/>
    <w:rsid w:val="512C1180"/>
    <w:rsid w:val="514D723D"/>
    <w:rsid w:val="516923D4"/>
    <w:rsid w:val="51921CEE"/>
    <w:rsid w:val="51F6353C"/>
    <w:rsid w:val="51F80AC1"/>
    <w:rsid w:val="52145D31"/>
    <w:rsid w:val="5228628E"/>
    <w:rsid w:val="522F3081"/>
    <w:rsid w:val="52533913"/>
    <w:rsid w:val="52642B9B"/>
    <w:rsid w:val="52675237"/>
    <w:rsid w:val="52AF6286"/>
    <w:rsid w:val="52D14209"/>
    <w:rsid w:val="530920D8"/>
    <w:rsid w:val="533E0EA9"/>
    <w:rsid w:val="5361752C"/>
    <w:rsid w:val="536750BF"/>
    <w:rsid w:val="538661C4"/>
    <w:rsid w:val="53A776F0"/>
    <w:rsid w:val="53BC3B51"/>
    <w:rsid w:val="53C17C75"/>
    <w:rsid w:val="53E62DA2"/>
    <w:rsid w:val="53ED1B1B"/>
    <w:rsid w:val="53F43D78"/>
    <w:rsid w:val="540E7263"/>
    <w:rsid w:val="543061F9"/>
    <w:rsid w:val="54667B16"/>
    <w:rsid w:val="54682970"/>
    <w:rsid w:val="549D09A1"/>
    <w:rsid w:val="54D04159"/>
    <w:rsid w:val="54FD204A"/>
    <w:rsid w:val="551132B9"/>
    <w:rsid w:val="55195EBF"/>
    <w:rsid w:val="554A4D59"/>
    <w:rsid w:val="5569504C"/>
    <w:rsid w:val="55713E81"/>
    <w:rsid w:val="55732D4D"/>
    <w:rsid w:val="55833339"/>
    <w:rsid w:val="55A90FF1"/>
    <w:rsid w:val="562B5EAA"/>
    <w:rsid w:val="562C1C22"/>
    <w:rsid w:val="563A587F"/>
    <w:rsid w:val="56771D5E"/>
    <w:rsid w:val="569E667C"/>
    <w:rsid w:val="56EF4602"/>
    <w:rsid w:val="574809D7"/>
    <w:rsid w:val="57C57C38"/>
    <w:rsid w:val="57E330A5"/>
    <w:rsid w:val="57F25F31"/>
    <w:rsid w:val="57F60DB2"/>
    <w:rsid w:val="58727D91"/>
    <w:rsid w:val="58B46E2E"/>
    <w:rsid w:val="58CE6FC1"/>
    <w:rsid w:val="58D93676"/>
    <w:rsid w:val="59274A81"/>
    <w:rsid w:val="593625F0"/>
    <w:rsid w:val="594159E5"/>
    <w:rsid w:val="596E04C5"/>
    <w:rsid w:val="598F49A2"/>
    <w:rsid w:val="598F6750"/>
    <w:rsid w:val="59A259AE"/>
    <w:rsid w:val="59A57D21"/>
    <w:rsid w:val="59A9231D"/>
    <w:rsid w:val="59DB7BE7"/>
    <w:rsid w:val="59F34F31"/>
    <w:rsid w:val="5A3B13C4"/>
    <w:rsid w:val="5A3C7DCD"/>
    <w:rsid w:val="5A4511BC"/>
    <w:rsid w:val="5A4C3D35"/>
    <w:rsid w:val="5A5720ED"/>
    <w:rsid w:val="5A5A6D5E"/>
    <w:rsid w:val="5A6C06B7"/>
    <w:rsid w:val="5A820532"/>
    <w:rsid w:val="5A971BA8"/>
    <w:rsid w:val="5B1A473F"/>
    <w:rsid w:val="5B2401AD"/>
    <w:rsid w:val="5B2472F7"/>
    <w:rsid w:val="5B372BFB"/>
    <w:rsid w:val="5B4E13CA"/>
    <w:rsid w:val="5B507C7E"/>
    <w:rsid w:val="5B5C1BB2"/>
    <w:rsid w:val="5B631316"/>
    <w:rsid w:val="5B6D191A"/>
    <w:rsid w:val="5B70435F"/>
    <w:rsid w:val="5BBF1E33"/>
    <w:rsid w:val="5BCB4F37"/>
    <w:rsid w:val="5BDA3D5D"/>
    <w:rsid w:val="5BDE265B"/>
    <w:rsid w:val="5C0B035E"/>
    <w:rsid w:val="5C0B27CB"/>
    <w:rsid w:val="5C0D47D0"/>
    <w:rsid w:val="5C4E6CCC"/>
    <w:rsid w:val="5C580D1E"/>
    <w:rsid w:val="5C7A58CD"/>
    <w:rsid w:val="5CC26B83"/>
    <w:rsid w:val="5CC664E0"/>
    <w:rsid w:val="5CE16024"/>
    <w:rsid w:val="5D073FC7"/>
    <w:rsid w:val="5D0B4C83"/>
    <w:rsid w:val="5D1673EA"/>
    <w:rsid w:val="5D30024A"/>
    <w:rsid w:val="5D5850AB"/>
    <w:rsid w:val="5D631593"/>
    <w:rsid w:val="5D673D23"/>
    <w:rsid w:val="5D6C0E8A"/>
    <w:rsid w:val="5D907490"/>
    <w:rsid w:val="5DC10EA2"/>
    <w:rsid w:val="5E0437CB"/>
    <w:rsid w:val="5E3406B3"/>
    <w:rsid w:val="5E4044BD"/>
    <w:rsid w:val="5E6613BD"/>
    <w:rsid w:val="5E755603"/>
    <w:rsid w:val="5E79352B"/>
    <w:rsid w:val="5E8056A5"/>
    <w:rsid w:val="5EE4067B"/>
    <w:rsid w:val="5F160697"/>
    <w:rsid w:val="5F33703C"/>
    <w:rsid w:val="5F375401"/>
    <w:rsid w:val="5F4368A9"/>
    <w:rsid w:val="5F722F52"/>
    <w:rsid w:val="5F9315FA"/>
    <w:rsid w:val="5FB707AE"/>
    <w:rsid w:val="5FDE50AE"/>
    <w:rsid w:val="60177DA7"/>
    <w:rsid w:val="605051E5"/>
    <w:rsid w:val="60583D31"/>
    <w:rsid w:val="606249EA"/>
    <w:rsid w:val="606F4ABE"/>
    <w:rsid w:val="606F72DB"/>
    <w:rsid w:val="60854833"/>
    <w:rsid w:val="60C74A21"/>
    <w:rsid w:val="60D3031F"/>
    <w:rsid w:val="60DE5427"/>
    <w:rsid w:val="61033F6B"/>
    <w:rsid w:val="61241E74"/>
    <w:rsid w:val="6138591F"/>
    <w:rsid w:val="613D3E82"/>
    <w:rsid w:val="61493688"/>
    <w:rsid w:val="61552CA7"/>
    <w:rsid w:val="617701F5"/>
    <w:rsid w:val="619C5EAE"/>
    <w:rsid w:val="61FA00CC"/>
    <w:rsid w:val="62185BE9"/>
    <w:rsid w:val="625E74B7"/>
    <w:rsid w:val="62654F75"/>
    <w:rsid w:val="62793854"/>
    <w:rsid w:val="62B62F9F"/>
    <w:rsid w:val="62B75EB5"/>
    <w:rsid w:val="62C7400B"/>
    <w:rsid w:val="62D068A8"/>
    <w:rsid w:val="62DB2144"/>
    <w:rsid w:val="62EF64B1"/>
    <w:rsid w:val="6300709D"/>
    <w:rsid w:val="63236338"/>
    <w:rsid w:val="63502E79"/>
    <w:rsid w:val="635E7AC6"/>
    <w:rsid w:val="636055EA"/>
    <w:rsid w:val="637440E7"/>
    <w:rsid w:val="63792345"/>
    <w:rsid w:val="63844E4C"/>
    <w:rsid w:val="63F3575B"/>
    <w:rsid w:val="642D52F8"/>
    <w:rsid w:val="646B44D9"/>
    <w:rsid w:val="647050F9"/>
    <w:rsid w:val="64800C99"/>
    <w:rsid w:val="64852B18"/>
    <w:rsid w:val="648A39B4"/>
    <w:rsid w:val="649A1701"/>
    <w:rsid w:val="64C4146C"/>
    <w:rsid w:val="64EB43DB"/>
    <w:rsid w:val="650224CC"/>
    <w:rsid w:val="65036678"/>
    <w:rsid w:val="651C0169"/>
    <w:rsid w:val="65293EFC"/>
    <w:rsid w:val="65382D82"/>
    <w:rsid w:val="65515201"/>
    <w:rsid w:val="65515BA4"/>
    <w:rsid w:val="65663365"/>
    <w:rsid w:val="656E1529"/>
    <w:rsid w:val="65973F90"/>
    <w:rsid w:val="65C86787"/>
    <w:rsid w:val="65D5373C"/>
    <w:rsid w:val="65FF2A50"/>
    <w:rsid w:val="662C5E17"/>
    <w:rsid w:val="663639F0"/>
    <w:rsid w:val="663D12E2"/>
    <w:rsid w:val="664105AA"/>
    <w:rsid w:val="6655487D"/>
    <w:rsid w:val="665B318D"/>
    <w:rsid w:val="665E35B4"/>
    <w:rsid w:val="66780FC2"/>
    <w:rsid w:val="669C2010"/>
    <w:rsid w:val="66A7297A"/>
    <w:rsid w:val="66AB0941"/>
    <w:rsid w:val="66D95D80"/>
    <w:rsid w:val="66ED1363"/>
    <w:rsid w:val="66F807A3"/>
    <w:rsid w:val="66FC25F4"/>
    <w:rsid w:val="66FF410B"/>
    <w:rsid w:val="671D35ED"/>
    <w:rsid w:val="678202A7"/>
    <w:rsid w:val="67857371"/>
    <w:rsid w:val="678E72CF"/>
    <w:rsid w:val="67C978F1"/>
    <w:rsid w:val="67E1286C"/>
    <w:rsid w:val="68033F70"/>
    <w:rsid w:val="68093B71"/>
    <w:rsid w:val="68094D42"/>
    <w:rsid w:val="68386205"/>
    <w:rsid w:val="683D6CF3"/>
    <w:rsid w:val="689D1A85"/>
    <w:rsid w:val="689E69AF"/>
    <w:rsid w:val="68B00494"/>
    <w:rsid w:val="68EC5D88"/>
    <w:rsid w:val="697B7766"/>
    <w:rsid w:val="699F5A9E"/>
    <w:rsid w:val="699F681A"/>
    <w:rsid w:val="69E56D5C"/>
    <w:rsid w:val="6A1C13C9"/>
    <w:rsid w:val="6A4411D8"/>
    <w:rsid w:val="6A576E16"/>
    <w:rsid w:val="6A5E63F6"/>
    <w:rsid w:val="6A68021D"/>
    <w:rsid w:val="6A691E51"/>
    <w:rsid w:val="6A6F5236"/>
    <w:rsid w:val="6AB55323"/>
    <w:rsid w:val="6AB909BC"/>
    <w:rsid w:val="6AF57CFF"/>
    <w:rsid w:val="6B1940CB"/>
    <w:rsid w:val="6B2C7F23"/>
    <w:rsid w:val="6B3845E2"/>
    <w:rsid w:val="6B641837"/>
    <w:rsid w:val="6B655563"/>
    <w:rsid w:val="6BEA57EC"/>
    <w:rsid w:val="6BF52911"/>
    <w:rsid w:val="6C2D5B88"/>
    <w:rsid w:val="6C4877A7"/>
    <w:rsid w:val="6C4F4AAC"/>
    <w:rsid w:val="6C660BA4"/>
    <w:rsid w:val="6C70267D"/>
    <w:rsid w:val="6C8D0A44"/>
    <w:rsid w:val="6CB95B66"/>
    <w:rsid w:val="6CD14E74"/>
    <w:rsid w:val="6CEF77DA"/>
    <w:rsid w:val="6CFD5D26"/>
    <w:rsid w:val="6D054A29"/>
    <w:rsid w:val="6D5A0320"/>
    <w:rsid w:val="6D5B5932"/>
    <w:rsid w:val="6D5F124E"/>
    <w:rsid w:val="6D981D32"/>
    <w:rsid w:val="6DEE7A91"/>
    <w:rsid w:val="6E0025A6"/>
    <w:rsid w:val="6E096679"/>
    <w:rsid w:val="6E1B2378"/>
    <w:rsid w:val="6E4B5241"/>
    <w:rsid w:val="6E9422EC"/>
    <w:rsid w:val="6EA2087C"/>
    <w:rsid w:val="6EA976BF"/>
    <w:rsid w:val="6EDD0049"/>
    <w:rsid w:val="6EFB0BBF"/>
    <w:rsid w:val="6F072567"/>
    <w:rsid w:val="6F4035AB"/>
    <w:rsid w:val="6F457B85"/>
    <w:rsid w:val="6F481423"/>
    <w:rsid w:val="6FAE3743"/>
    <w:rsid w:val="6FF021FE"/>
    <w:rsid w:val="700131AA"/>
    <w:rsid w:val="70187047"/>
    <w:rsid w:val="701D4D9B"/>
    <w:rsid w:val="70222B25"/>
    <w:rsid w:val="704C2525"/>
    <w:rsid w:val="7057030E"/>
    <w:rsid w:val="70752C14"/>
    <w:rsid w:val="707866CF"/>
    <w:rsid w:val="7090126C"/>
    <w:rsid w:val="709067E3"/>
    <w:rsid w:val="70A443A2"/>
    <w:rsid w:val="70D50E08"/>
    <w:rsid w:val="70F353BF"/>
    <w:rsid w:val="7103312E"/>
    <w:rsid w:val="71084668"/>
    <w:rsid w:val="712908C0"/>
    <w:rsid w:val="712966D8"/>
    <w:rsid w:val="71362F36"/>
    <w:rsid w:val="714F1660"/>
    <w:rsid w:val="71712AA2"/>
    <w:rsid w:val="717259F1"/>
    <w:rsid w:val="718A28A1"/>
    <w:rsid w:val="71CF78AB"/>
    <w:rsid w:val="71EC078C"/>
    <w:rsid w:val="720F315D"/>
    <w:rsid w:val="724009EE"/>
    <w:rsid w:val="72404633"/>
    <w:rsid w:val="7258197D"/>
    <w:rsid w:val="726A2A28"/>
    <w:rsid w:val="72835AB7"/>
    <w:rsid w:val="7294037B"/>
    <w:rsid w:val="72974D76"/>
    <w:rsid w:val="72C20C25"/>
    <w:rsid w:val="72E6720A"/>
    <w:rsid w:val="73382330"/>
    <w:rsid w:val="73400E28"/>
    <w:rsid w:val="7366709D"/>
    <w:rsid w:val="737F118B"/>
    <w:rsid w:val="73955FD2"/>
    <w:rsid w:val="739968BA"/>
    <w:rsid w:val="73AF2E6B"/>
    <w:rsid w:val="73D04495"/>
    <w:rsid w:val="73F35C31"/>
    <w:rsid w:val="73F8313B"/>
    <w:rsid w:val="73FB6A64"/>
    <w:rsid w:val="74457DA4"/>
    <w:rsid w:val="746451FC"/>
    <w:rsid w:val="747B7BA5"/>
    <w:rsid w:val="749175FE"/>
    <w:rsid w:val="74D774D1"/>
    <w:rsid w:val="74F65750"/>
    <w:rsid w:val="751F6782"/>
    <w:rsid w:val="75306BE1"/>
    <w:rsid w:val="75355367"/>
    <w:rsid w:val="75411016"/>
    <w:rsid w:val="75952EE8"/>
    <w:rsid w:val="75A03A85"/>
    <w:rsid w:val="75A761E4"/>
    <w:rsid w:val="76397D18"/>
    <w:rsid w:val="7686550D"/>
    <w:rsid w:val="769021CF"/>
    <w:rsid w:val="769C4F42"/>
    <w:rsid w:val="76AC6DAF"/>
    <w:rsid w:val="76C0697A"/>
    <w:rsid w:val="76DB0DCF"/>
    <w:rsid w:val="76F1623A"/>
    <w:rsid w:val="77020109"/>
    <w:rsid w:val="77230185"/>
    <w:rsid w:val="77417307"/>
    <w:rsid w:val="77634BA9"/>
    <w:rsid w:val="77822FF8"/>
    <w:rsid w:val="77B72002"/>
    <w:rsid w:val="77CD6969"/>
    <w:rsid w:val="77DD7648"/>
    <w:rsid w:val="77E50650"/>
    <w:rsid w:val="77ED700C"/>
    <w:rsid w:val="77F444D3"/>
    <w:rsid w:val="7826006B"/>
    <w:rsid w:val="782F1376"/>
    <w:rsid w:val="78363092"/>
    <w:rsid w:val="78600196"/>
    <w:rsid w:val="7861622C"/>
    <w:rsid w:val="786E3F39"/>
    <w:rsid w:val="788D60F9"/>
    <w:rsid w:val="78943089"/>
    <w:rsid w:val="78B8098A"/>
    <w:rsid w:val="78C435AE"/>
    <w:rsid w:val="78C95383"/>
    <w:rsid w:val="78DF3CE8"/>
    <w:rsid w:val="792B53A6"/>
    <w:rsid w:val="797C0647"/>
    <w:rsid w:val="79A010BC"/>
    <w:rsid w:val="7A0A5C4F"/>
    <w:rsid w:val="7A2F2EF8"/>
    <w:rsid w:val="7A7F7CD9"/>
    <w:rsid w:val="7ACD7133"/>
    <w:rsid w:val="7B02062D"/>
    <w:rsid w:val="7B1A6F92"/>
    <w:rsid w:val="7B623BF9"/>
    <w:rsid w:val="7B785C27"/>
    <w:rsid w:val="7BA313AA"/>
    <w:rsid w:val="7BB15E76"/>
    <w:rsid w:val="7BB87930"/>
    <w:rsid w:val="7BC6239A"/>
    <w:rsid w:val="7BCE2CB0"/>
    <w:rsid w:val="7BCF674F"/>
    <w:rsid w:val="7BD16E2A"/>
    <w:rsid w:val="7BFD3860"/>
    <w:rsid w:val="7C083E85"/>
    <w:rsid w:val="7C0B51F9"/>
    <w:rsid w:val="7CAD6D69"/>
    <w:rsid w:val="7CC336E0"/>
    <w:rsid w:val="7CDC144B"/>
    <w:rsid w:val="7CE71F14"/>
    <w:rsid w:val="7D1A2719"/>
    <w:rsid w:val="7D3134F6"/>
    <w:rsid w:val="7D821FA4"/>
    <w:rsid w:val="7D933C6C"/>
    <w:rsid w:val="7DB75F52"/>
    <w:rsid w:val="7DC26844"/>
    <w:rsid w:val="7DD61798"/>
    <w:rsid w:val="7DD73E33"/>
    <w:rsid w:val="7DE20C95"/>
    <w:rsid w:val="7E416A7C"/>
    <w:rsid w:val="7E642729"/>
    <w:rsid w:val="7EA146AC"/>
    <w:rsid w:val="7ED71E7C"/>
    <w:rsid w:val="7ED92098"/>
    <w:rsid w:val="7EF45C53"/>
    <w:rsid w:val="7F1E5CFC"/>
    <w:rsid w:val="7F313C82"/>
    <w:rsid w:val="7F5C05D3"/>
    <w:rsid w:val="7F6044FA"/>
    <w:rsid w:val="7F7830A3"/>
    <w:rsid w:val="7FD84F1D"/>
    <w:rsid w:val="7FF72561"/>
    <w:rsid w:val="7FFD6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center"/>
      <w:outlineLvl w:val="0"/>
    </w:pPr>
    <w:rPr>
      <w:rFonts w:ascii="Arial" w:hAnsi="Arial" w:cs="Arial"/>
      <w:b/>
      <w:sz w:val="32"/>
      <w:szCs w:val="32"/>
    </w:rPr>
  </w:style>
  <w:style w:type="paragraph" w:styleId="4">
    <w:name w:val="Body Text"/>
    <w:basedOn w:val="1"/>
    <w:next w:val="1"/>
    <w:qFormat/>
    <w:uiPriority w:val="0"/>
    <w:pPr>
      <w:spacing w:after="120"/>
    </w:pPr>
    <w:rPr>
      <w:rFonts w:eastAsia="仿宋" w:asciiTheme="minorAscii" w:hAnsiTheme="minorAscii"/>
      <w:sz w:val="32"/>
    </w:rPr>
  </w:style>
  <w:style w:type="paragraph" w:styleId="5">
    <w:name w:val="footer"/>
    <w:basedOn w:val="1"/>
    <w:next w:val="3"/>
    <w:qFormat/>
    <w:uiPriority w:val="0"/>
    <w:pPr>
      <w:tabs>
        <w:tab w:val="center" w:pos="4153"/>
        <w:tab w:val="right" w:pos="8306"/>
      </w:tabs>
      <w:snapToGrid w:val="0"/>
      <w:jc w:val="left"/>
    </w:pPr>
    <w:rPr>
      <w:sz w:val="18"/>
    </w:rPr>
  </w:style>
  <w:style w:type="paragraph" w:customStyle="1" w:styleId="8">
    <w:name w:val="WPSOffice手动目录 1"/>
    <w:qFormat/>
    <w:uiPriority w:val="0"/>
    <w:rPr>
      <w:rFonts w:ascii="Times New Roman" w:hAnsi="Times New Roman" w:eastAsia="宋体" w:cs="Times New Roman"/>
      <w:lang w:val="en-US" w:eastAsia="zh-CN" w:bidi="ar-SA"/>
    </w:rPr>
  </w:style>
  <w:style w:type="character" w:customStyle="1" w:styleId="9">
    <w:name w:val="font11"/>
    <w:basedOn w:val="7"/>
    <w:qFormat/>
    <w:uiPriority w:val="0"/>
    <w:rPr>
      <w:rFonts w:hint="eastAsia" w:ascii="宋体" w:hAnsi="宋体" w:eastAsia="宋体" w:cs="宋体"/>
      <w:color w:val="000000"/>
      <w:sz w:val="20"/>
      <w:szCs w:val="20"/>
      <w:u w:val="none"/>
    </w:rPr>
  </w:style>
  <w:style w:type="character" w:customStyle="1" w:styleId="10">
    <w:name w:val="font01"/>
    <w:basedOn w:val="7"/>
    <w:qFormat/>
    <w:uiPriority w:val="0"/>
    <w:rPr>
      <w:rFonts w:hint="eastAsia" w:ascii="宋体" w:hAnsi="宋体" w:eastAsia="宋体" w:cs="宋体"/>
      <w:color w:val="000000"/>
      <w:sz w:val="24"/>
      <w:szCs w:val="24"/>
      <w:u w:val="none"/>
    </w:rPr>
  </w:style>
  <w:style w:type="character" w:customStyle="1" w:styleId="11">
    <w:name w:val="font21"/>
    <w:basedOn w:val="7"/>
    <w:qFormat/>
    <w:uiPriority w:val="0"/>
    <w:rPr>
      <w:rFonts w:hint="eastAsia" w:ascii="宋体" w:hAnsi="宋体" w:eastAsia="宋体" w:cs="宋体"/>
      <w:color w:val="000000"/>
      <w:sz w:val="24"/>
      <w:szCs w:val="24"/>
      <w:u w:val="none"/>
    </w:rPr>
  </w:style>
  <w:style w:type="character" w:customStyle="1" w:styleId="12">
    <w:name w:val="font31"/>
    <w:basedOn w:val="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4098"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78</Pages>
  <Words>20666</Words>
  <Characters>26504</Characters>
  <Lines>1</Lines>
  <Paragraphs>1</Paragraphs>
  <TotalTime>14</TotalTime>
  <ScaleCrop>false</ScaleCrop>
  <LinksUpToDate>false</LinksUpToDate>
  <CharactersWithSpaces>29828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dc:creator>
  <cp:lastModifiedBy>Administrator</cp:lastModifiedBy>
  <cp:lastPrinted>2024-08-07T07:57:02Z</cp:lastPrinted>
  <dcterms:modified xsi:type="dcterms:W3CDTF">2024-08-07T08:03:36Z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700EEE4CF58C447286021D9510D34B6B</vt:lpwstr>
  </property>
</Properties>
</file>